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730"/>
        <w:gridCol w:w="5090"/>
        <w:gridCol w:w="8"/>
      </w:tblGrid>
      <w:tr w:rsidR="006D38E2" w14:paraId="00A620FD" w14:textId="77777777" w:rsidTr="00090637">
        <w:trPr>
          <w:trHeight w:val="340"/>
        </w:trPr>
        <w:tc>
          <w:tcPr>
            <w:tcW w:w="9918" w:type="dxa"/>
            <w:gridSpan w:val="4"/>
            <w:shd w:val="clear" w:color="auto" w:fill="651D32"/>
            <w:vAlign w:val="center"/>
          </w:tcPr>
          <w:p w14:paraId="3E91F664" w14:textId="213BE74D" w:rsidR="006D38E2" w:rsidRPr="006D38E2" w:rsidRDefault="006D38E2" w:rsidP="006A4E1E">
            <w:pPr>
              <w:pStyle w:val="Prrafodelista"/>
              <w:numPr>
                <w:ilvl w:val="0"/>
                <w:numId w:val="4"/>
              </w:numPr>
              <w:spacing w:after="0" w:line="240" w:lineRule="auto"/>
              <w:rPr>
                <w:b/>
                <w:bCs/>
              </w:rPr>
            </w:pPr>
            <w:r w:rsidRPr="006D38E2">
              <w:rPr>
                <w:b/>
                <w:bCs/>
                <w:color w:val="FFFFFF" w:themeColor="background1"/>
              </w:rPr>
              <w:t>Descripción de la Evaluación</w:t>
            </w:r>
          </w:p>
        </w:tc>
      </w:tr>
      <w:tr w:rsidR="00A70556" w14:paraId="20819888" w14:textId="59C7D007" w:rsidTr="00A70556">
        <w:trPr>
          <w:trHeight w:val="340"/>
        </w:trPr>
        <w:tc>
          <w:tcPr>
            <w:tcW w:w="3090" w:type="dxa"/>
            <w:shd w:val="clear" w:color="auto" w:fill="F2F2F2" w:themeFill="background1" w:themeFillShade="F2"/>
            <w:vAlign w:val="center"/>
          </w:tcPr>
          <w:p w14:paraId="50FD4D0C" w14:textId="3214F2A0" w:rsidR="00A70556" w:rsidRDefault="00A70556" w:rsidP="006A4E1E">
            <w:pPr>
              <w:pStyle w:val="Prrafodelista"/>
              <w:numPr>
                <w:ilvl w:val="1"/>
                <w:numId w:val="1"/>
              </w:numPr>
              <w:spacing w:after="0" w:line="240"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1848B0F" w14:textId="04189F22" w:rsidR="00A70556" w:rsidRDefault="00A70556" w:rsidP="006A4E1E">
            <w:pPr>
              <w:spacing w:after="0" w:line="240" w:lineRule="auto"/>
            </w:pPr>
            <w:r w:rsidRPr="009C2562">
              <w:t xml:space="preserve">Evaluación </w:t>
            </w:r>
            <w:r w:rsidR="000851A2">
              <w:t xml:space="preserve">Específica </w:t>
            </w:r>
            <w:r w:rsidRPr="009C2562">
              <w:t xml:space="preserve">del </w:t>
            </w:r>
            <w:r w:rsidR="000851A2">
              <w:t>D</w:t>
            </w:r>
            <w:r w:rsidRPr="009C2562">
              <w:t>esempeño</w:t>
            </w:r>
            <w:r w:rsidR="000851A2">
              <w:t xml:space="preserve"> (EED)</w:t>
            </w:r>
          </w:p>
        </w:tc>
      </w:tr>
      <w:tr w:rsidR="00A70556" w:rsidRPr="00A70556" w14:paraId="46FA2E7D" w14:textId="26CCC2AD" w:rsidTr="00A70556">
        <w:trPr>
          <w:trHeight w:val="340"/>
        </w:trPr>
        <w:tc>
          <w:tcPr>
            <w:tcW w:w="4820" w:type="dxa"/>
            <w:gridSpan w:val="2"/>
            <w:shd w:val="clear" w:color="auto" w:fill="F2F2F2" w:themeFill="background1" w:themeFillShade="F2"/>
            <w:vAlign w:val="center"/>
          </w:tcPr>
          <w:p w14:paraId="45D2E724" w14:textId="1EC3932B" w:rsidR="00A70556" w:rsidRPr="00A70556" w:rsidRDefault="00A70556" w:rsidP="006A4E1E">
            <w:pPr>
              <w:pStyle w:val="Prrafodelista"/>
              <w:numPr>
                <w:ilvl w:val="1"/>
                <w:numId w:val="1"/>
              </w:numPr>
              <w:spacing w:after="0" w:line="240" w:lineRule="auto"/>
              <w:ind w:left="431" w:hanging="431"/>
              <w:jc w:val="center"/>
              <w:rPr>
                <w:b/>
                <w:bCs/>
              </w:rPr>
            </w:pPr>
            <w:r w:rsidRPr="00581B4A">
              <w:rPr>
                <w:b/>
                <w:bCs/>
              </w:rPr>
              <w:t>Fecha de Inicio de la Evaluación</w:t>
            </w:r>
            <w:r>
              <w:rPr>
                <w:b/>
                <w:bCs/>
              </w:rPr>
              <w:t>:</w:t>
            </w:r>
          </w:p>
        </w:tc>
        <w:tc>
          <w:tcPr>
            <w:tcW w:w="5098" w:type="dxa"/>
            <w:gridSpan w:val="2"/>
            <w:shd w:val="clear" w:color="auto" w:fill="F2F2F2" w:themeFill="background1" w:themeFillShade="F2"/>
            <w:vAlign w:val="center"/>
          </w:tcPr>
          <w:p w14:paraId="1855239E" w14:textId="011F86AE" w:rsidR="00A70556" w:rsidRPr="00A70556" w:rsidRDefault="00A70556" w:rsidP="006A4E1E">
            <w:pPr>
              <w:pStyle w:val="Prrafodelista"/>
              <w:numPr>
                <w:ilvl w:val="1"/>
                <w:numId w:val="1"/>
              </w:numPr>
              <w:spacing w:after="0" w:line="240" w:lineRule="auto"/>
              <w:ind w:left="431" w:hanging="431"/>
              <w:jc w:val="center"/>
              <w:rPr>
                <w:b/>
                <w:bCs/>
              </w:rPr>
            </w:pPr>
            <w:r w:rsidRPr="00581B4A">
              <w:rPr>
                <w:b/>
                <w:bCs/>
              </w:rPr>
              <w:t>Fecha de Término de la Evaluación</w:t>
            </w:r>
            <w:r>
              <w:rPr>
                <w:b/>
                <w:bCs/>
              </w:rPr>
              <w:t>:</w:t>
            </w:r>
          </w:p>
        </w:tc>
      </w:tr>
      <w:tr w:rsidR="00A70556" w:rsidRPr="00F95AA6" w14:paraId="25605E2B" w14:textId="6C6CB051" w:rsidTr="00D64D64">
        <w:trPr>
          <w:trHeight w:val="340"/>
        </w:trPr>
        <w:tc>
          <w:tcPr>
            <w:tcW w:w="4820" w:type="dxa"/>
            <w:gridSpan w:val="2"/>
            <w:shd w:val="clear" w:color="auto" w:fill="auto"/>
            <w:vAlign w:val="center"/>
          </w:tcPr>
          <w:p w14:paraId="04FE2865" w14:textId="0E68A593" w:rsidR="00A70556" w:rsidRPr="00F95AA6" w:rsidRDefault="00D64D64" w:rsidP="006A4E1E">
            <w:pPr>
              <w:spacing w:after="0" w:line="240" w:lineRule="auto"/>
              <w:jc w:val="center"/>
              <w:rPr>
                <w:bCs/>
              </w:rPr>
            </w:pPr>
            <w:r w:rsidRPr="00F95AA6">
              <w:rPr>
                <w:bCs/>
              </w:rPr>
              <w:t>25/10/2021</w:t>
            </w:r>
          </w:p>
        </w:tc>
        <w:tc>
          <w:tcPr>
            <w:tcW w:w="5098" w:type="dxa"/>
            <w:gridSpan w:val="2"/>
            <w:shd w:val="clear" w:color="auto" w:fill="auto"/>
            <w:vAlign w:val="center"/>
          </w:tcPr>
          <w:p w14:paraId="20B4FD60" w14:textId="4C964613" w:rsidR="00A70556" w:rsidRPr="00F95AA6" w:rsidRDefault="00D64D64" w:rsidP="006A4E1E">
            <w:pPr>
              <w:spacing w:after="0" w:line="240" w:lineRule="auto"/>
              <w:jc w:val="center"/>
              <w:rPr>
                <w:bCs/>
              </w:rPr>
            </w:pPr>
            <w:r w:rsidRPr="00F95AA6">
              <w:rPr>
                <w:bCs/>
              </w:rPr>
              <w:t>28/01/2022</w:t>
            </w:r>
          </w:p>
        </w:tc>
      </w:tr>
      <w:tr w:rsidR="00A70556" w14:paraId="40ABC469" w14:textId="77777777" w:rsidTr="00090637">
        <w:trPr>
          <w:trHeight w:val="340"/>
        </w:trPr>
        <w:tc>
          <w:tcPr>
            <w:tcW w:w="9918" w:type="dxa"/>
            <w:gridSpan w:val="4"/>
            <w:shd w:val="clear" w:color="auto" w:fill="F2F2F2" w:themeFill="background1" w:themeFillShade="F2"/>
            <w:vAlign w:val="center"/>
          </w:tcPr>
          <w:p w14:paraId="173E00A7" w14:textId="42170B33" w:rsidR="00A70556" w:rsidRPr="00581B4A" w:rsidRDefault="00A70556" w:rsidP="006A4E1E">
            <w:pPr>
              <w:pStyle w:val="Prrafodelista"/>
              <w:numPr>
                <w:ilvl w:val="1"/>
                <w:numId w:val="1"/>
              </w:numPr>
              <w:spacing w:after="0" w:line="240"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14:paraId="404F28A5" w14:textId="77777777" w:rsidTr="00A70556">
        <w:trPr>
          <w:trHeight w:val="340"/>
        </w:trPr>
        <w:tc>
          <w:tcPr>
            <w:tcW w:w="9918" w:type="dxa"/>
            <w:gridSpan w:val="4"/>
            <w:shd w:val="clear" w:color="auto" w:fill="auto"/>
            <w:vAlign w:val="center"/>
          </w:tcPr>
          <w:p w14:paraId="562ABADA" w14:textId="30C4B59A" w:rsidR="00A70556" w:rsidRPr="00581B4A" w:rsidRDefault="006A4E1E" w:rsidP="006A4E1E">
            <w:pPr>
              <w:pStyle w:val="Prrafodelista"/>
              <w:spacing w:after="0" w:line="240" w:lineRule="auto"/>
              <w:ind w:left="37"/>
              <w:jc w:val="both"/>
              <w:rPr>
                <w:b/>
                <w:bCs/>
              </w:rPr>
            </w:pPr>
            <w:r>
              <w:rPr>
                <w:rFonts w:eastAsia="Times New Roman"/>
                <w:color w:val="000000"/>
                <w:lang w:eastAsia="es-MX"/>
              </w:rPr>
              <w:t xml:space="preserve">Gustavo Guzmán Cazares / Domingo Vega González, </w:t>
            </w:r>
            <w:r w:rsidRPr="006A4E1E">
              <w:rPr>
                <w:rFonts w:eastAsia="Times New Roman"/>
                <w:color w:val="000000"/>
                <w:lang w:eastAsia="es-MX"/>
              </w:rPr>
              <w:t>SESESP</w:t>
            </w:r>
          </w:p>
        </w:tc>
      </w:tr>
      <w:tr w:rsidR="00A70556" w14:paraId="63B6FA2D" w14:textId="77777777" w:rsidTr="00A70556">
        <w:trPr>
          <w:gridAfter w:val="1"/>
          <w:wAfter w:w="8" w:type="dxa"/>
          <w:trHeight w:val="340"/>
        </w:trPr>
        <w:tc>
          <w:tcPr>
            <w:tcW w:w="9910" w:type="dxa"/>
            <w:gridSpan w:val="3"/>
            <w:shd w:val="clear" w:color="auto" w:fill="F2F2F2" w:themeFill="background1" w:themeFillShade="F2"/>
            <w:vAlign w:val="center"/>
          </w:tcPr>
          <w:p w14:paraId="429B87D6" w14:textId="50AC45F0" w:rsidR="00A70556" w:rsidRPr="00BB178B" w:rsidRDefault="00A70556" w:rsidP="006A4E1E">
            <w:pPr>
              <w:pStyle w:val="Prrafodelista"/>
              <w:numPr>
                <w:ilvl w:val="1"/>
                <w:numId w:val="1"/>
              </w:numPr>
              <w:spacing w:after="0" w:line="240" w:lineRule="auto"/>
              <w:ind w:left="431" w:hanging="431"/>
              <w:rPr>
                <w:b/>
                <w:bCs/>
              </w:rPr>
            </w:pPr>
            <w:r w:rsidRPr="009F31DF">
              <w:rPr>
                <w:b/>
                <w:bCs/>
              </w:rPr>
              <w:t xml:space="preserve">Objetivo General de la Evaluación: </w:t>
            </w:r>
          </w:p>
        </w:tc>
      </w:tr>
    </w:tbl>
    <w:p w14:paraId="6E302201" w14:textId="22D52AF1" w:rsidR="00B920F2" w:rsidRDefault="006A4E1E" w:rsidP="006A4E1E">
      <w:pPr>
        <w:pStyle w:val="Prrafodelista"/>
        <w:spacing w:after="0" w:line="276" w:lineRule="auto"/>
        <w:ind w:left="142"/>
        <w:jc w:val="both"/>
      </w:pPr>
      <w:r w:rsidRPr="006A4E1E">
        <w:t>Analizar sistemáticamente los resultados obtenidos de los Programas con Prioridad Nacional y subprogramas contenidos en el Anexo Técnico del Convenio de Coordinación del FASP 2021 del Estado de Sinaloa, con base en la información entregada por las áreas responsables de su ejecución y operación, a fin de determinar su pertinencia, el logro de los objetivos y metas, así como la eficiencia, eficacia, calidad, impacto y sostenibilidad de los mismos.</w:t>
      </w:r>
    </w:p>
    <w:tbl>
      <w:tblPr>
        <w:tblStyle w:val="Tablaconcuadrcula"/>
        <w:tblW w:w="0" w:type="auto"/>
        <w:tblLook w:val="04A0" w:firstRow="1" w:lastRow="0" w:firstColumn="1" w:lastColumn="0" w:noHBand="0" w:noVBand="1"/>
      </w:tblPr>
      <w:tblGrid>
        <w:gridCol w:w="9910"/>
      </w:tblGrid>
      <w:tr w:rsidR="005D1F4D" w14:paraId="41C877C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273DBEA" w14:textId="055C646A" w:rsidR="005D1F4D" w:rsidRPr="005D1F4D" w:rsidRDefault="005D1F4D" w:rsidP="006A4E1E">
            <w:pPr>
              <w:pStyle w:val="Prrafodelista"/>
              <w:numPr>
                <w:ilvl w:val="1"/>
                <w:numId w:val="1"/>
              </w:numPr>
              <w:spacing w:after="0" w:line="240" w:lineRule="auto"/>
              <w:ind w:left="431" w:hanging="431"/>
              <w:rPr>
                <w:b/>
                <w:bCs/>
              </w:rPr>
            </w:pPr>
            <w:r w:rsidRPr="009F31DF">
              <w:rPr>
                <w:b/>
                <w:bCs/>
              </w:rPr>
              <w:t>Objetivos Específicos de la Evaluación:</w:t>
            </w:r>
          </w:p>
        </w:tc>
      </w:tr>
    </w:tbl>
    <w:p w14:paraId="3C48F667" w14:textId="77777777" w:rsidR="006A4E1E" w:rsidRPr="006A4E1E" w:rsidRDefault="006A4E1E" w:rsidP="006A4E1E">
      <w:pPr>
        <w:pStyle w:val="Prrafodelista"/>
        <w:numPr>
          <w:ilvl w:val="0"/>
          <w:numId w:val="2"/>
        </w:numPr>
        <w:spacing w:after="0" w:line="276" w:lineRule="auto"/>
        <w:ind w:left="426" w:hanging="219"/>
        <w:jc w:val="both"/>
      </w:pPr>
      <w:r w:rsidRPr="006A4E1E">
        <w:t>Contar con una evaluación narrativa por subprograma que valore de manera clara y específica su desempeño y resultados.</w:t>
      </w:r>
    </w:p>
    <w:p w14:paraId="56219B6B" w14:textId="77777777" w:rsidR="006A4E1E" w:rsidRPr="006A4E1E" w:rsidRDefault="006A4E1E" w:rsidP="006A4E1E">
      <w:pPr>
        <w:pStyle w:val="Prrafodelista"/>
        <w:numPr>
          <w:ilvl w:val="0"/>
          <w:numId w:val="2"/>
        </w:numPr>
        <w:spacing w:after="0" w:line="276" w:lineRule="auto"/>
        <w:ind w:left="426" w:hanging="219"/>
        <w:jc w:val="both"/>
      </w:pPr>
      <w:r w:rsidRPr="006A4E1E">
        <w:t>Verificar el grado de cumplimiento de objetivos y metas, con base en indicadores estratégicos y de gestión que permitan conocer los resultados de la aplicación de los recursos.</w:t>
      </w:r>
    </w:p>
    <w:p w14:paraId="62543515" w14:textId="77777777" w:rsidR="006A4E1E" w:rsidRPr="006A4E1E" w:rsidRDefault="006A4E1E" w:rsidP="006A4E1E">
      <w:pPr>
        <w:pStyle w:val="Prrafodelista"/>
        <w:numPr>
          <w:ilvl w:val="0"/>
          <w:numId w:val="2"/>
        </w:numPr>
        <w:spacing w:after="0" w:line="276" w:lineRule="auto"/>
        <w:ind w:left="426" w:hanging="219"/>
        <w:jc w:val="both"/>
      </w:pPr>
      <w:r w:rsidRPr="006A4E1E">
        <w:t>Presentar las evidencias necesarias para darle legitimidad al contenido de la evaluación.</w:t>
      </w:r>
    </w:p>
    <w:p w14:paraId="53853EF8" w14:textId="77777777" w:rsidR="006A4E1E" w:rsidRPr="006A4E1E" w:rsidRDefault="006A4E1E" w:rsidP="006A4E1E">
      <w:pPr>
        <w:pStyle w:val="Prrafodelista"/>
        <w:numPr>
          <w:ilvl w:val="0"/>
          <w:numId w:val="2"/>
        </w:numPr>
        <w:spacing w:after="0" w:line="276" w:lineRule="auto"/>
        <w:ind w:left="426" w:hanging="219"/>
        <w:jc w:val="both"/>
      </w:pPr>
      <w:r w:rsidRPr="006A4E1E">
        <w:t>Identificar los logros obtenidos en materia de seguridad pública, analizando de manera sistemática y objetiva las causas de las variaciones respecto a los objetivos y metas programados.</w:t>
      </w:r>
    </w:p>
    <w:p w14:paraId="39CD8FDA" w14:textId="77777777" w:rsidR="006A4E1E" w:rsidRPr="006A4E1E" w:rsidRDefault="006A4E1E" w:rsidP="006A4E1E">
      <w:pPr>
        <w:pStyle w:val="Prrafodelista"/>
        <w:numPr>
          <w:ilvl w:val="0"/>
          <w:numId w:val="2"/>
        </w:numPr>
        <w:spacing w:after="0" w:line="276" w:lineRule="auto"/>
        <w:ind w:left="426" w:hanging="219"/>
        <w:jc w:val="both"/>
      </w:pPr>
      <w:r w:rsidRPr="006A4E1E">
        <w:t>Describir el impacto de los resultados alcanzados en materia de seguridad pública, derivados de la ejecución de los programas financiados con las aportaciones conjuntas.</w:t>
      </w:r>
    </w:p>
    <w:p w14:paraId="1E147D48" w14:textId="77777777" w:rsidR="006A4E1E" w:rsidRPr="006A4E1E" w:rsidRDefault="006A4E1E" w:rsidP="006A4E1E">
      <w:pPr>
        <w:pStyle w:val="Prrafodelista"/>
        <w:numPr>
          <w:ilvl w:val="0"/>
          <w:numId w:val="2"/>
        </w:numPr>
        <w:spacing w:after="0" w:line="276" w:lineRule="auto"/>
        <w:ind w:left="426" w:hanging="219"/>
        <w:jc w:val="both"/>
      </w:pPr>
      <w:r w:rsidRPr="006A4E1E">
        <w:t>Analizar el avance de las metas de los indicadores de la Matriz de Indicadores para Resultados (MIR) en 2021, respecto a las metas establecidas.</w:t>
      </w:r>
    </w:p>
    <w:p w14:paraId="1316F9E4" w14:textId="77777777" w:rsidR="006A4E1E" w:rsidRPr="006A4E1E" w:rsidRDefault="006A4E1E" w:rsidP="006A4E1E">
      <w:pPr>
        <w:pStyle w:val="Prrafodelista"/>
        <w:numPr>
          <w:ilvl w:val="0"/>
          <w:numId w:val="2"/>
        </w:numPr>
        <w:spacing w:after="0" w:line="276" w:lineRule="auto"/>
        <w:ind w:left="426" w:hanging="219"/>
        <w:jc w:val="both"/>
      </w:pPr>
      <w:r w:rsidRPr="006A4E1E">
        <w:t>Identificar los principales aspectos susceptibles de mejora de los programas derivados de las evaluaciones externas.</w:t>
      </w:r>
    </w:p>
    <w:p w14:paraId="66D0EEFF" w14:textId="52E87322" w:rsidR="009B7088" w:rsidRDefault="006A4E1E" w:rsidP="006A4E1E">
      <w:pPr>
        <w:pStyle w:val="Prrafodelista"/>
        <w:numPr>
          <w:ilvl w:val="0"/>
          <w:numId w:val="2"/>
        </w:numPr>
        <w:spacing w:after="0" w:line="276" w:lineRule="auto"/>
        <w:ind w:left="426" w:hanging="219"/>
        <w:jc w:val="both"/>
      </w:pPr>
      <w:r w:rsidRPr="006A4E1E">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3F5410B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AA6E2B6" w14:textId="35A40EF9" w:rsidR="005D1F4D" w:rsidRPr="005D1F4D" w:rsidRDefault="005D1F4D" w:rsidP="006A4E1E">
            <w:pPr>
              <w:pStyle w:val="Prrafodelista"/>
              <w:numPr>
                <w:ilvl w:val="1"/>
                <w:numId w:val="1"/>
              </w:numPr>
              <w:spacing w:after="0" w:line="240" w:lineRule="auto"/>
              <w:ind w:left="431" w:hanging="431"/>
              <w:rPr>
                <w:b/>
                <w:bCs/>
              </w:rPr>
            </w:pPr>
            <w:r w:rsidRPr="009F31DF">
              <w:rPr>
                <w:b/>
                <w:bCs/>
              </w:rPr>
              <w:t>Metodología Utilizada en la Evaluación:</w:t>
            </w:r>
          </w:p>
        </w:tc>
      </w:tr>
    </w:tbl>
    <w:p w14:paraId="06322026" w14:textId="7159DF25" w:rsidR="00B920F2" w:rsidRDefault="006A4E1E" w:rsidP="006A4E1E">
      <w:pPr>
        <w:pStyle w:val="Prrafodelista"/>
        <w:spacing w:after="0" w:line="276" w:lineRule="auto"/>
        <w:ind w:left="142"/>
        <w:jc w:val="both"/>
      </w:pPr>
      <w:r>
        <w:rPr>
          <w:rFonts w:eastAsia="Times New Roman"/>
          <w:bCs/>
          <w:color w:val="000000"/>
          <w:lang w:eastAsia="es-MX"/>
        </w:rPr>
        <w:t>La establecida en los Lineamientos Generales de Evaluación del Fondo de Aportaciones para la Seguridad Pública de los Estados y del Distrito Federal (FASP) para el ejercicio Fiscal 2021; emitidos por el Secretariado Ejecutivo del Sistema Nacional de Seguridad Pública (SESNSP).</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302"/>
        <w:gridCol w:w="1843"/>
        <w:gridCol w:w="3260"/>
      </w:tblGrid>
      <w:tr w:rsidR="00581B4A" w:rsidRPr="009F31DF" w14:paraId="7FCBD191" w14:textId="77777777" w:rsidTr="006A4E1E">
        <w:trPr>
          <w:trHeight w:val="340"/>
        </w:trPr>
        <w:tc>
          <w:tcPr>
            <w:tcW w:w="9923" w:type="dxa"/>
            <w:gridSpan w:val="4"/>
            <w:shd w:val="clear" w:color="auto" w:fill="F2F2F2" w:themeFill="background1" w:themeFillShade="F2"/>
            <w:vAlign w:val="center"/>
          </w:tcPr>
          <w:p w14:paraId="1A63C00F" w14:textId="195DB914" w:rsidR="00581B4A" w:rsidRPr="009F31DF" w:rsidRDefault="00581B4A" w:rsidP="006A4E1E">
            <w:pPr>
              <w:spacing w:after="0" w:line="276" w:lineRule="auto"/>
              <w:jc w:val="both"/>
              <w:rPr>
                <w:b/>
                <w:bCs/>
              </w:rPr>
            </w:pPr>
            <w:r w:rsidRPr="009F31DF">
              <w:rPr>
                <w:b/>
                <w:bCs/>
              </w:rPr>
              <w:t>Instrumentos de Recolección de Información:</w:t>
            </w:r>
          </w:p>
        </w:tc>
      </w:tr>
      <w:tr w:rsidR="00521401" w14:paraId="2760F8DA" w14:textId="77777777" w:rsidTr="006A4E1E">
        <w:trPr>
          <w:trHeight w:val="340"/>
        </w:trPr>
        <w:tc>
          <w:tcPr>
            <w:tcW w:w="2518" w:type="dxa"/>
            <w:shd w:val="clear" w:color="auto" w:fill="F2F2F2" w:themeFill="background1" w:themeFillShade="F2"/>
            <w:vAlign w:val="center"/>
          </w:tcPr>
          <w:p w14:paraId="56B0AD9F" w14:textId="52E16BA1" w:rsidR="00581B4A" w:rsidRPr="00581B4A" w:rsidRDefault="00581B4A" w:rsidP="006A4E1E">
            <w:pPr>
              <w:spacing w:after="0" w:line="240" w:lineRule="auto"/>
              <w:jc w:val="center"/>
              <w:rPr>
                <w:b/>
                <w:bCs/>
              </w:rPr>
            </w:pPr>
            <w:r w:rsidRPr="00581B4A">
              <w:rPr>
                <w:b/>
                <w:bCs/>
              </w:rPr>
              <w:t>Cuestionarios:</w:t>
            </w:r>
          </w:p>
        </w:tc>
        <w:tc>
          <w:tcPr>
            <w:tcW w:w="2302" w:type="dxa"/>
            <w:shd w:val="clear" w:color="auto" w:fill="F2F2F2" w:themeFill="background1" w:themeFillShade="F2"/>
            <w:vAlign w:val="center"/>
          </w:tcPr>
          <w:p w14:paraId="5301A2C6" w14:textId="6081126C" w:rsidR="00581B4A" w:rsidRPr="00581B4A" w:rsidRDefault="00581B4A" w:rsidP="006A4E1E">
            <w:pPr>
              <w:spacing w:after="0" w:line="240" w:lineRule="auto"/>
              <w:jc w:val="center"/>
              <w:rPr>
                <w:b/>
                <w:bCs/>
              </w:rPr>
            </w:pPr>
            <w:r w:rsidRPr="00581B4A">
              <w:rPr>
                <w:b/>
                <w:bCs/>
              </w:rPr>
              <w:t>Entrevistas:</w:t>
            </w:r>
          </w:p>
        </w:tc>
        <w:tc>
          <w:tcPr>
            <w:tcW w:w="1843" w:type="dxa"/>
            <w:shd w:val="clear" w:color="auto" w:fill="F2F2F2" w:themeFill="background1" w:themeFillShade="F2"/>
            <w:vAlign w:val="center"/>
          </w:tcPr>
          <w:p w14:paraId="00CE62FF" w14:textId="59C28A4E" w:rsidR="00581B4A" w:rsidRPr="00581B4A" w:rsidRDefault="00581B4A" w:rsidP="006A4E1E">
            <w:pPr>
              <w:spacing w:after="0" w:line="240" w:lineRule="auto"/>
              <w:jc w:val="center"/>
              <w:rPr>
                <w:b/>
                <w:bCs/>
              </w:rPr>
            </w:pPr>
            <w:r w:rsidRPr="00581B4A">
              <w:rPr>
                <w:b/>
                <w:bCs/>
              </w:rPr>
              <w:t>Formatos:</w:t>
            </w:r>
          </w:p>
        </w:tc>
        <w:tc>
          <w:tcPr>
            <w:tcW w:w="3260" w:type="dxa"/>
            <w:shd w:val="clear" w:color="auto" w:fill="F2F2F2" w:themeFill="background1" w:themeFillShade="F2"/>
            <w:vAlign w:val="center"/>
          </w:tcPr>
          <w:p w14:paraId="08B874AE" w14:textId="6BDC0EBE" w:rsidR="00581B4A" w:rsidRPr="00581B4A" w:rsidRDefault="00581B4A" w:rsidP="006A4E1E">
            <w:pPr>
              <w:spacing w:after="0" w:line="240" w:lineRule="auto"/>
              <w:jc w:val="center"/>
              <w:rPr>
                <w:b/>
                <w:bCs/>
              </w:rPr>
            </w:pPr>
            <w:r w:rsidRPr="00581B4A">
              <w:rPr>
                <w:b/>
                <w:bCs/>
              </w:rPr>
              <w:t>Especifique:</w:t>
            </w:r>
          </w:p>
        </w:tc>
      </w:tr>
      <w:tr w:rsidR="00521401" w:rsidRPr="006A4E1E" w14:paraId="3D19DB5A" w14:textId="77777777" w:rsidTr="006A4E1E">
        <w:trPr>
          <w:trHeight w:val="227"/>
        </w:trPr>
        <w:tc>
          <w:tcPr>
            <w:tcW w:w="2518" w:type="dxa"/>
            <w:vAlign w:val="center"/>
          </w:tcPr>
          <w:p w14:paraId="4933AAE0" w14:textId="34DDEE3A" w:rsidR="00581B4A" w:rsidRPr="006A4E1E" w:rsidRDefault="006A4E1E" w:rsidP="006A4E1E">
            <w:pPr>
              <w:spacing w:after="0" w:line="240" w:lineRule="auto"/>
              <w:jc w:val="center"/>
            </w:pPr>
            <w:r w:rsidRPr="006A4E1E">
              <w:t>X</w:t>
            </w:r>
          </w:p>
        </w:tc>
        <w:tc>
          <w:tcPr>
            <w:tcW w:w="2302" w:type="dxa"/>
            <w:vAlign w:val="center"/>
          </w:tcPr>
          <w:p w14:paraId="5E2F2F4F" w14:textId="4108E87C" w:rsidR="00581B4A" w:rsidRPr="006A4E1E" w:rsidRDefault="006A4E1E" w:rsidP="006A4E1E">
            <w:pPr>
              <w:spacing w:after="0" w:line="240" w:lineRule="auto"/>
              <w:jc w:val="center"/>
            </w:pPr>
            <w:r w:rsidRPr="006A4E1E">
              <w:t>X</w:t>
            </w:r>
          </w:p>
        </w:tc>
        <w:tc>
          <w:tcPr>
            <w:tcW w:w="1843" w:type="dxa"/>
            <w:vAlign w:val="center"/>
          </w:tcPr>
          <w:p w14:paraId="5336E508" w14:textId="4BFD5FAB" w:rsidR="00581B4A" w:rsidRPr="006A4E1E" w:rsidRDefault="00581B4A" w:rsidP="006A4E1E">
            <w:pPr>
              <w:spacing w:after="0" w:line="240" w:lineRule="auto"/>
              <w:jc w:val="center"/>
            </w:pPr>
            <w:r w:rsidRPr="006A4E1E">
              <w:t>X</w:t>
            </w:r>
          </w:p>
        </w:tc>
        <w:tc>
          <w:tcPr>
            <w:tcW w:w="3260" w:type="dxa"/>
            <w:vAlign w:val="center"/>
          </w:tcPr>
          <w:p w14:paraId="7BFD3CFE" w14:textId="17A0181F" w:rsidR="00581B4A" w:rsidRPr="006A4E1E" w:rsidRDefault="006A4E1E" w:rsidP="006A4E1E">
            <w:pPr>
              <w:spacing w:after="0" w:line="240" w:lineRule="auto"/>
              <w:jc w:val="center"/>
              <w:rPr>
                <w:bCs/>
              </w:rPr>
            </w:pPr>
            <w:r w:rsidRPr="006A4E1E">
              <w:t>Archivo del SESESP</w:t>
            </w:r>
          </w:p>
        </w:tc>
      </w:tr>
      <w:tr w:rsidR="005D1F4D" w14:paraId="166EA307" w14:textId="77777777" w:rsidTr="006A4E1E">
        <w:trPr>
          <w:trHeight w:val="340"/>
        </w:trPr>
        <w:tc>
          <w:tcPr>
            <w:tcW w:w="9923" w:type="dxa"/>
            <w:gridSpan w:val="4"/>
            <w:shd w:val="clear" w:color="auto" w:fill="F2F2F2" w:themeFill="background1" w:themeFillShade="F2"/>
            <w:vAlign w:val="center"/>
          </w:tcPr>
          <w:p w14:paraId="7372CEA6" w14:textId="0AAF0041" w:rsidR="005D1F4D" w:rsidRDefault="005D1F4D" w:rsidP="006A4E1E">
            <w:pPr>
              <w:pStyle w:val="Prrafodelista"/>
              <w:spacing w:after="0" w:line="240" w:lineRule="auto"/>
              <w:ind w:left="0"/>
              <w:jc w:val="both"/>
              <w:rPr>
                <w:b/>
                <w:bCs/>
              </w:rPr>
            </w:pPr>
            <w:r w:rsidRPr="005D1F4D">
              <w:rPr>
                <w:b/>
                <w:bCs/>
              </w:rPr>
              <w:t>Descripción de las Técnicas y Modelos Utilizados:</w:t>
            </w:r>
          </w:p>
        </w:tc>
      </w:tr>
    </w:tbl>
    <w:p w14:paraId="3B219EA6" w14:textId="7B6DDB87" w:rsidR="006D38E2" w:rsidRDefault="006A4E1E" w:rsidP="006A4E1E">
      <w:pPr>
        <w:spacing w:after="0" w:line="240" w:lineRule="auto"/>
        <w:ind w:left="142"/>
        <w:jc w:val="both"/>
        <w:sectPr w:rsidR="006D38E2" w:rsidSect="009850C8">
          <w:headerReference w:type="default" r:id="rId8"/>
          <w:headerReference w:type="first" r:id="rId9"/>
          <w:footerReference w:type="first" r:id="rId10"/>
          <w:pgSz w:w="12240" w:h="15840"/>
          <w:pgMar w:top="1418" w:right="902" w:bottom="1134" w:left="1418" w:header="567" w:footer="266" w:gutter="0"/>
          <w:cols w:space="708"/>
          <w:titlePg/>
          <w:docGrid w:linePitch="360"/>
        </w:sectPr>
      </w:pPr>
      <w:r w:rsidRPr="006A4E1E">
        <w:t>Los Lineamientos son el documento normativo que establece las especificaciones técnicas, objeto y estructura de cómo ejecutar la evaluación de los objetivos, metas y ejercicio de los recursos del financiamiento conjunto, que se deberá observar para la Evaluación de los Programas con Prioridad Nacional (PPN) y subprogramas establecidos en el Anexo Técnico del Convenio de Coordinación en materia de Seguridad Pública 2021.</w:t>
      </w:r>
    </w:p>
    <w:tbl>
      <w:tblPr>
        <w:tblStyle w:val="Tablaconcuadrcula"/>
        <w:tblW w:w="0" w:type="auto"/>
        <w:tblLook w:val="04A0" w:firstRow="1" w:lastRow="0" w:firstColumn="1" w:lastColumn="0" w:noHBand="0" w:noVBand="1"/>
      </w:tblPr>
      <w:tblGrid>
        <w:gridCol w:w="9910"/>
      </w:tblGrid>
      <w:tr w:rsidR="00823754" w14:paraId="21F9CD5E" w14:textId="77777777" w:rsidTr="00090637">
        <w:trPr>
          <w:trHeight w:val="340"/>
        </w:trPr>
        <w:tc>
          <w:tcPr>
            <w:tcW w:w="9910" w:type="dxa"/>
            <w:tcBorders>
              <w:top w:val="nil"/>
              <w:left w:val="nil"/>
              <w:bottom w:val="nil"/>
              <w:right w:val="nil"/>
            </w:tcBorders>
            <w:shd w:val="clear" w:color="auto" w:fill="651D32"/>
            <w:vAlign w:val="center"/>
          </w:tcPr>
          <w:p w14:paraId="2DA805F8" w14:textId="72FC2F52"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5228846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4A467A2" w14:textId="7063F24E" w:rsidR="009C2562" w:rsidRPr="009C2562" w:rsidRDefault="009C2562" w:rsidP="006F4B1F">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3C03E573" w14:textId="77777777" w:rsidR="006A4E1E" w:rsidRDefault="006A4E1E" w:rsidP="006A4E1E">
      <w:pPr>
        <w:pStyle w:val="Prrafodelista"/>
        <w:numPr>
          <w:ilvl w:val="0"/>
          <w:numId w:val="2"/>
        </w:numPr>
        <w:spacing w:after="0" w:line="276" w:lineRule="auto"/>
        <w:ind w:left="426" w:hanging="219"/>
        <w:jc w:val="both"/>
      </w:pPr>
      <w:r>
        <w:t>Algunos elementos que nos amplían la valoración y advierten de la complejidad de la problemática prevaleciente en las Instituciones de Seguridad Pública los tenemos a partir de la información que generó la Encuesta Institucional para la evaluación del FASP 2020. El estudio consideró como premisa avanzar en la explicación de las capacidades institucionales y los comportamientos organizacionales que determinan el nivel de cumplimiento de su función.</w:t>
      </w:r>
    </w:p>
    <w:p w14:paraId="450B1BAF" w14:textId="77777777" w:rsidR="006A4E1E" w:rsidRDefault="006A4E1E" w:rsidP="006A4E1E">
      <w:pPr>
        <w:pStyle w:val="Prrafodelista"/>
        <w:numPr>
          <w:ilvl w:val="0"/>
          <w:numId w:val="2"/>
        </w:numPr>
        <w:spacing w:after="0" w:line="276" w:lineRule="auto"/>
        <w:ind w:left="426" w:hanging="219"/>
        <w:jc w:val="both"/>
      </w:pPr>
      <w:r>
        <w:t>Persisten problemas para la consolidación del nuevo sistema de justicia penal, en particular la capacitación del personal y específicamente a policías preventivos y de investigación, con la adecuada coordinación interinstitucional.</w:t>
      </w:r>
    </w:p>
    <w:p w14:paraId="538585A5" w14:textId="77777777" w:rsidR="006A4E1E" w:rsidRDefault="006A4E1E" w:rsidP="006A4E1E">
      <w:pPr>
        <w:pStyle w:val="Prrafodelista"/>
        <w:numPr>
          <w:ilvl w:val="0"/>
          <w:numId w:val="2"/>
        </w:numPr>
        <w:spacing w:after="0" w:line="276" w:lineRule="auto"/>
        <w:ind w:left="426" w:hanging="219"/>
        <w:jc w:val="both"/>
      </w:pPr>
      <w:r>
        <w:t>La problemática prevaleciente en la acumulación del alto índice de personas desaparecidas y/no localizadas en la entidad, a más de consolidar el Registro Nacional de Datos de Personas Extraviadas y Desaparecidas en la entidad.</w:t>
      </w:r>
    </w:p>
    <w:p w14:paraId="6D14250D" w14:textId="77777777" w:rsidR="006A4E1E" w:rsidRDefault="006A4E1E" w:rsidP="006A4E1E">
      <w:pPr>
        <w:pStyle w:val="Prrafodelista"/>
        <w:numPr>
          <w:ilvl w:val="0"/>
          <w:numId w:val="2"/>
        </w:numPr>
        <w:spacing w:after="0" w:line="276" w:lineRule="auto"/>
        <w:ind w:left="426" w:hanging="219"/>
        <w:jc w:val="both"/>
      </w:pPr>
      <w:r>
        <w:t>El Servicio de Llamadas de Emergencia 911 continúa registrando una alta proporción de llamadas falsas, lo cual incide en contra de la rapidez de respuesta ante un evento de emergencia real, el promedio de atención en el último año fue de 12:41 minutos.</w:t>
      </w:r>
    </w:p>
    <w:p w14:paraId="689F15D7" w14:textId="4439A90A" w:rsidR="00AF2993" w:rsidRPr="006505C2" w:rsidRDefault="006A4E1E" w:rsidP="006A4E1E">
      <w:pPr>
        <w:pStyle w:val="Prrafodelista"/>
        <w:numPr>
          <w:ilvl w:val="0"/>
          <w:numId w:val="2"/>
        </w:numPr>
        <w:spacing w:after="0" w:line="276" w:lineRule="auto"/>
        <w:ind w:left="426" w:hanging="219"/>
        <w:jc w:val="both"/>
      </w:pPr>
      <w:r>
        <w:t>Al menos en nueve instancias beneficiarias y ejecutoras de los PPNS se destinan recursos para el pago de honorarios a personal que presta sus servicios profesionales en esas áreas y que ha venido creciendo en los años recientes.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5C0F6349" w14:textId="77777777" w:rsidTr="00090637">
        <w:tc>
          <w:tcPr>
            <w:tcW w:w="9910" w:type="dxa"/>
            <w:shd w:val="clear" w:color="auto" w:fill="F2F2F2" w:themeFill="background1" w:themeFillShade="F2"/>
            <w:vAlign w:val="center"/>
          </w:tcPr>
          <w:p w14:paraId="269277EC" w14:textId="79BA977C"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13452973" w14:textId="69594406"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Fortalezas: </w:t>
      </w:r>
    </w:p>
    <w:p w14:paraId="748710A6" w14:textId="77777777" w:rsidR="006A4E1E" w:rsidRDefault="006A4E1E" w:rsidP="006A4E1E">
      <w:pPr>
        <w:pStyle w:val="Prrafodelista"/>
        <w:numPr>
          <w:ilvl w:val="0"/>
          <w:numId w:val="7"/>
        </w:numPr>
        <w:spacing w:after="0" w:line="276" w:lineRule="auto"/>
        <w:jc w:val="both"/>
      </w:pPr>
      <w:r>
        <w:t>El Sistema Estatal de Seguridad Pública cuenta con buena coordinación institucional entre los tres órdenes de gobierno, lo que permite funcionar ininterrumpidamente en todo el estado, permitiendo que la ciudadanía acceda a los servicios que brinda de manera gratuita y oportuna.</w:t>
      </w:r>
    </w:p>
    <w:p w14:paraId="7C96AD22" w14:textId="77777777" w:rsidR="006A4E1E" w:rsidRDefault="006A4E1E" w:rsidP="006A4E1E">
      <w:pPr>
        <w:pStyle w:val="Prrafodelista"/>
        <w:numPr>
          <w:ilvl w:val="0"/>
          <w:numId w:val="7"/>
        </w:numPr>
        <w:spacing w:after="0" w:line="276" w:lineRule="auto"/>
        <w:jc w:val="both"/>
      </w:pPr>
      <w:r>
        <w:t>Se cuenta con la infraestructura requerida para satisfacer las necesidades derivadas de los programas para el reclutamiento de aspirantes a formar parte del Estado de Fuerza.</w:t>
      </w:r>
    </w:p>
    <w:p w14:paraId="3B7CE2DE" w14:textId="77777777" w:rsidR="006A4E1E" w:rsidRDefault="006A4E1E" w:rsidP="006A4E1E">
      <w:pPr>
        <w:pStyle w:val="Prrafodelista"/>
        <w:numPr>
          <w:ilvl w:val="0"/>
          <w:numId w:val="7"/>
        </w:numPr>
        <w:spacing w:after="0" w:line="276" w:lineRule="auto"/>
        <w:jc w:val="both"/>
      </w:pPr>
      <w:r>
        <w:t>Mecanismos de cooperación para el intercambio de información.</w:t>
      </w:r>
    </w:p>
    <w:p w14:paraId="1BBE4DE6" w14:textId="41183FAE" w:rsidR="003E1018" w:rsidRPr="006505C2" w:rsidRDefault="006A4E1E" w:rsidP="006A4E1E">
      <w:pPr>
        <w:pStyle w:val="Prrafodelista"/>
        <w:numPr>
          <w:ilvl w:val="0"/>
          <w:numId w:val="7"/>
        </w:numPr>
        <w:spacing w:after="0" w:line="276" w:lineRule="auto"/>
        <w:jc w:val="both"/>
      </w:pPr>
      <w:r>
        <w:t>Instalaciones adecuadas y equipadas con herramientas tecnológicas que facilitan el desempeño de sus funciones.</w:t>
      </w:r>
    </w:p>
    <w:p w14:paraId="6EBF3F87" w14:textId="4B36D88F"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 xml:space="preserve">Oportunidades: </w:t>
      </w:r>
    </w:p>
    <w:p w14:paraId="441EC6E1" w14:textId="77777777" w:rsidR="006A4E1E" w:rsidRDefault="006A4E1E" w:rsidP="006A4E1E">
      <w:pPr>
        <w:pStyle w:val="Prrafodelista"/>
        <w:numPr>
          <w:ilvl w:val="0"/>
          <w:numId w:val="8"/>
        </w:numPr>
        <w:spacing w:after="0" w:line="276" w:lineRule="auto"/>
        <w:jc w:val="both"/>
      </w:pPr>
      <w:r>
        <w:t>La creación de la Universidad de Policía para elevar los niveles de profesionalización del personal de las Instituciones de Seguridad Púbica, así como la implementación del Nuevo Modelo de Policía y Justicia Cívica.</w:t>
      </w:r>
    </w:p>
    <w:p w14:paraId="6BC06C65" w14:textId="77777777" w:rsidR="006A4E1E" w:rsidRDefault="006A4E1E" w:rsidP="006A4E1E">
      <w:pPr>
        <w:pStyle w:val="Prrafodelista"/>
        <w:numPr>
          <w:ilvl w:val="0"/>
          <w:numId w:val="8"/>
        </w:numPr>
        <w:spacing w:after="0" w:line="276" w:lineRule="auto"/>
        <w:jc w:val="both"/>
      </w:pPr>
      <w:r>
        <w:t>Formulación e implementación de políticas o sustento legal integral en materia de prevención social del delito, para el desarrollo de programas y estrategias de combate a las causas que generan la comisión de delitos y conductas antisociales, además de acciones para fomentar en la sociedad valores culturales y cívicos, que induzcan el respeto a la legalidad y a la protección de las víctimas.</w:t>
      </w:r>
    </w:p>
    <w:p w14:paraId="7693C0DE" w14:textId="500B438B" w:rsidR="003E1018" w:rsidRPr="006505C2" w:rsidRDefault="006A4E1E" w:rsidP="006A4E1E">
      <w:pPr>
        <w:pStyle w:val="Prrafodelista"/>
        <w:numPr>
          <w:ilvl w:val="0"/>
          <w:numId w:val="8"/>
        </w:numPr>
        <w:spacing w:after="0" w:line="276" w:lineRule="auto"/>
        <w:jc w:val="both"/>
      </w:pPr>
      <w:r>
        <w:t>Establecer convenios de colaboración con instituciones educativas y organismos públicos.</w:t>
      </w:r>
    </w:p>
    <w:p w14:paraId="086B8D1B" w14:textId="719886C8"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5B6264F0" w14:textId="77777777" w:rsidR="006A4E1E" w:rsidRDefault="006A4E1E" w:rsidP="006A4E1E">
      <w:pPr>
        <w:pStyle w:val="Prrafodelista"/>
        <w:numPr>
          <w:ilvl w:val="0"/>
          <w:numId w:val="8"/>
        </w:numPr>
        <w:spacing w:after="0" w:line="276" w:lineRule="auto"/>
        <w:jc w:val="both"/>
      </w:pPr>
      <w:r>
        <w:lastRenderedPageBreak/>
        <w:t>Se cuenta con un Estado de Fuerza insuficiente en proporción a la población del estado de Sinaloa.</w:t>
      </w:r>
    </w:p>
    <w:p w14:paraId="68C73FA9" w14:textId="77777777" w:rsidR="006A4E1E" w:rsidRDefault="006A4E1E" w:rsidP="006A4E1E">
      <w:pPr>
        <w:pStyle w:val="Prrafodelista"/>
        <w:numPr>
          <w:ilvl w:val="0"/>
          <w:numId w:val="8"/>
        </w:numPr>
        <w:spacing w:after="0" w:line="276" w:lineRule="auto"/>
        <w:jc w:val="both"/>
      </w:pPr>
      <w:r>
        <w:t>Rotación de personal.</w:t>
      </w:r>
    </w:p>
    <w:p w14:paraId="3EE23147" w14:textId="77777777" w:rsidR="006A4E1E" w:rsidRDefault="006A4E1E" w:rsidP="006A4E1E">
      <w:pPr>
        <w:pStyle w:val="Prrafodelista"/>
        <w:numPr>
          <w:ilvl w:val="0"/>
          <w:numId w:val="8"/>
        </w:numPr>
        <w:spacing w:after="0" w:line="276" w:lineRule="auto"/>
        <w:jc w:val="both"/>
      </w:pPr>
      <w:r>
        <w:t>Existen deficiencias en algunas áreas que limitan su desarrollo.</w:t>
      </w:r>
    </w:p>
    <w:p w14:paraId="06894671" w14:textId="77777777" w:rsidR="006A4E1E" w:rsidRDefault="006A4E1E" w:rsidP="006A4E1E">
      <w:pPr>
        <w:pStyle w:val="Prrafodelista"/>
        <w:numPr>
          <w:ilvl w:val="0"/>
          <w:numId w:val="8"/>
        </w:numPr>
        <w:spacing w:after="0" w:line="276" w:lineRule="auto"/>
        <w:jc w:val="both"/>
      </w:pPr>
      <w:r>
        <w:t>No se cuenta con una certeza presupuestal para la implementación y funcionamiento de la Unidad de Inteligencia Financiera.</w:t>
      </w:r>
    </w:p>
    <w:p w14:paraId="5B6001C4" w14:textId="77777777" w:rsidR="006A4E1E" w:rsidRDefault="006A4E1E" w:rsidP="006A4E1E">
      <w:pPr>
        <w:pStyle w:val="Prrafodelista"/>
        <w:numPr>
          <w:ilvl w:val="0"/>
          <w:numId w:val="8"/>
        </w:numPr>
        <w:spacing w:after="0" w:line="276" w:lineRule="auto"/>
        <w:jc w:val="both"/>
      </w:pPr>
      <w:r>
        <w:t>Parque vehicular en regular y mal estado.</w:t>
      </w:r>
    </w:p>
    <w:p w14:paraId="0D309632" w14:textId="77777777" w:rsidR="006A4E1E" w:rsidRDefault="006A4E1E" w:rsidP="006A4E1E">
      <w:pPr>
        <w:pStyle w:val="Prrafodelista"/>
        <w:numPr>
          <w:ilvl w:val="0"/>
          <w:numId w:val="8"/>
        </w:numPr>
        <w:spacing w:after="0" w:line="276" w:lineRule="auto"/>
        <w:jc w:val="both"/>
      </w:pPr>
      <w:r>
        <w:t>Infraestructura inadecuada y obsoleta en centros penitenciarios.</w:t>
      </w:r>
    </w:p>
    <w:p w14:paraId="03FB1E37" w14:textId="1BFEB569" w:rsidR="003E1018" w:rsidRPr="006505C2" w:rsidRDefault="006A4E1E" w:rsidP="006A4E1E">
      <w:pPr>
        <w:pStyle w:val="Prrafodelista"/>
        <w:numPr>
          <w:ilvl w:val="0"/>
          <w:numId w:val="8"/>
        </w:numPr>
        <w:spacing w:after="0" w:line="276" w:lineRule="auto"/>
        <w:jc w:val="both"/>
      </w:pPr>
      <w:r>
        <w:t>Elevados costos para sostener o mejorar los recursos materiales y financieros en material de seguridad pública.</w:t>
      </w:r>
    </w:p>
    <w:p w14:paraId="25BB1B8B" w14:textId="5DBDA51A"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3ECCD60B" w14:textId="77777777" w:rsidR="006A4E1E" w:rsidRDefault="006A4E1E" w:rsidP="006A4E1E">
      <w:pPr>
        <w:pStyle w:val="Prrafodelista"/>
        <w:numPr>
          <w:ilvl w:val="0"/>
          <w:numId w:val="8"/>
        </w:numPr>
        <w:spacing w:after="0" w:line="276" w:lineRule="auto"/>
        <w:jc w:val="both"/>
      </w:pPr>
      <w:r>
        <w:t>Falta de personas interesadas en pertenecer a la Policía Estatal y Custodio Penitenciario.</w:t>
      </w:r>
    </w:p>
    <w:p w14:paraId="533C3F55" w14:textId="77777777" w:rsidR="006A4E1E" w:rsidRDefault="006A4E1E" w:rsidP="006A4E1E">
      <w:pPr>
        <w:pStyle w:val="Prrafodelista"/>
        <w:numPr>
          <w:ilvl w:val="0"/>
          <w:numId w:val="8"/>
        </w:numPr>
        <w:spacing w:after="0" w:line="276" w:lineRule="auto"/>
        <w:jc w:val="both"/>
      </w:pPr>
      <w:r>
        <w:t>Insuficiencia presupuestaria en relación a los recursos asignados para asegurar la continuidad operativa del personal activo de seguridad pública.</w:t>
      </w:r>
    </w:p>
    <w:p w14:paraId="495689D4" w14:textId="77777777" w:rsidR="006A4E1E" w:rsidRDefault="006A4E1E" w:rsidP="006A4E1E">
      <w:pPr>
        <w:pStyle w:val="Prrafodelista"/>
        <w:numPr>
          <w:ilvl w:val="0"/>
          <w:numId w:val="8"/>
        </w:numPr>
        <w:spacing w:after="0" w:line="276" w:lineRule="auto"/>
        <w:jc w:val="both"/>
      </w:pPr>
      <w:r>
        <w:t>Crecimiento de la incidencia de delitos relacionados con la privación de la libertad de manera ilegal, aunado al temor por parte de la sociedad a denunciar los delitos de alto impacto.</w:t>
      </w:r>
    </w:p>
    <w:p w14:paraId="17F25DB7" w14:textId="77777777" w:rsidR="006A4E1E" w:rsidRDefault="006A4E1E" w:rsidP="006A4E1E">
      <w:pPr>
        <w:pStyle w:val="Prrafodelista"/>
        <w:numPr>
          <w:ilvl w:val="0"/>
          <w:numId w:val="8"/>
        </w:numPr>
        <w:spacing w:after="0" w:line="276" w:lineRule="auto"/>
        <w:jc w:val="both"/>
      </w:pPr>
      <w:r>
        <w:t>Grupos delictivos.</w:t>
      </w:r>
    </w:p>
    <w:p w14:paraId="4801E4D6" w14:textId="77777777" w:rsidR="006A4E1E" w:rsidRDefault="006A4E1E" w:rsidP="006A4E1E">
      <w:pPr>
        <w:pStyle w:val="Prrafodelista"/>
        <w:numPr>
          <w:ilvl w:val="0"/>
          <w:numId w:val="8"/>
        </w:numPr>
        <w:spacing w:after="0" w:line="276" w:lineRule="auto"/>
        <w:jc w:val="both"/>
      </w:pPr>
      <w:r>
        <w:t>Actos vandálicos a la infraestructura de telecomunicaciones.</w:t>
      </w:r>
    </w:p>
    <w:p w14:paraId="0BB4B7CB" w14:textId="77777777" w:rsidR="006A4E1E" w:rsidRDefault="006A4E1E" w:rsidP="006A4E1E">
      <w:pPr>
        <w:pStyle w:val="Prrafodelista"/>
        <w:numPr>
          <w:ilvl w:val="0"/>
          <w:numId w:val="8"/>
        </w:numPr>
        <w:spacing w:after="0" w:line="276" w:lineRule="auto"/>
        <w:jc w:val="both"/>
      </w:pPr>
      <w:r>
        <w:t>Ciudadanía desinformada y con mala percepción del Sistema de Atención de Llamadas de Emergencia.</w:t>
      </w:r>
    </w:p>
    <w:p w14:paraId="449E8E38" w14:textId="2EFB9641" w:rsidR="00005672" w:rsidRDefault="006A4E1E" w:rsidP="006A4E1E">
      <w:pPr>
        <w:pStyle w:val="Prrafodelista"/>
        <w:numPr>
          <w:ilvl w:val="0"/>
          <w:numId w:val="8"/>
        </w:numPr>
        <w:spacing w:after="0" w:line="276" w:lineRule="auto"/>
        <w:jc w:val="both"/>
      </w:pPr>
      <w:r>
        <w:t>Zona de alta incidencia de fenómenos meteorológicos.</w:t>
      </w:r>
    </w:p>
    <w:p w14:paraId="7A52F756" w14:textId="77777777" w:rsidR="00AF2993" w:rsidRDefault="00AF2993" w:rsidP="00005672">
      <w:pPr>
        <w:pStyle w:val="Prrafodelista"/>
        <w:numPr>
          <w:ilvl w:val="0"/>
          <w:numId w:val="8"/>
        </w:numPr>
        <w:spacing w:after="0" w:line="276" w:lineRule="auto"/>
        <w:ind w:left="993" w:hanging="284"/>
        <w:jc w:val="both"/>
        <w:sectPr w:rsidR="00AF2993" w:rsidSect="006047A9">
          <w:pgSz w:w="12240" w:h="15840"/>
          <w:pgMar w:top="1418" w:right="902" w:bottom="1134" w:left="1418" w:header="567" w:footer="264"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69397777" w14:textId="77777777" w:rsidTr="00090637">
        <w:trPr>
          <w:trHeight w:val="340"/>
        </w:trPr>
        <w:tc>
          <w:tcPr>
            <w:tcW w:w="9910" w:type="dxa"/>
            <w:shd w:val="clear" w:color="auto" w:fill="651D32"/>
            <w:vAlign w:val="center"/>
          </w:tcPr>
          <w:p w14:paraId="1132E9A1" w14:textId="4293F04D" w:rsidR="00AF2993" w:rsidRDefault="00AF2993" w:rsidP="006F4B1F">
            <w:pPr>
              <w:pStyle w:val="Prrafodelista"/>
              <w:numPr>
                <w:ilvl w:val="0"/>
                <w:numId w:val="4"/>
              </w:numPr>
              <w:spacing w:after="0" w:line="276" w:lineRule="auto"/>
            </w:pPr>
            <w:r w:rsidRPr="00AF2993">
              <w:rPr>
                <w:b/>
                <w:bCs/>
                <w:color w:val="FFFFFF" w:themeColor="background1"/>
              </w:rPr>
              <w:lastRenderedPageBreak/>
              <w:t>Conclusiones y Recomendaciones de la Evaluación</w:t>
            </w:r>
          </w:p>
        </w:tc>
      </w:tr>
      <w:tr w:rsidR="006505C2" w14:paraId="4AFD2A43" w14:textId="77777777" w:rsidTr="00090637">
        <w:trPr>
          <w:trHeight w:val="340"/>
        </w:trPr>
        <w:tc>
          <w:tcPr>
            <w:tcW w:w="9910" w:type="dxa"/>
            <w:shd w:val="clear" w:color="auto" w:fill="F2F2F2" w:themeFill="background1" w:themeFillShade="F2"/>
            <w:vAlign w:val="center"/>
          </w:tcPr>
          <w:p w14:paraId="26CE14B5" w14:textId="725DD858"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DB77C03" w14:textId="05FC059A" w:rsidR="006A4E1E" w:rsidRPr="006A4E1E" w:rsidRDefault="006A4E1E" w:rsidP="006A4E1E">
      <w:pPr>
        <w:spacing w:after="0" w:line="276" w:lineRule="auto"/>
        <w:ind w:left="284"/>
        <w:jc w:val="both"/>
        <w:rPr>
          <w:lang w:val="es-ES"/>
        </w:rPr>
      </w:pPr>
      <w:r w:rsidRPr="006A4E1E">
        <w:rPr>
          <w:lang w:val="es-ES"/>
        </w:rPr>
        <w:t>El ejercicio de los recursos convenidos para el FASP presentó un grado de avance de un 97.60% al 31 de diciembre de 202</w:t>
      </w:r>
      <w:r w:rsidR="008D03BB">
        <w:rPr>
          <w:lang w:val="es-ES"/>
        </w:rPr>
        <w:t>1</w:t>
      </w:r>
      <w:r w:rsidRPr="006A4E1E">
        <w:rPr>
          <w:lang w:val="es-ES"/>
        </w:rPr>
        <w:t>, quedando pendiente por ejercer un 2.40%; sin embargo, es importante mencionar que el presupuesto ejercido no contempla lo referente a recursos comprometidos a la fecha de corte, aunque éstos propiamente ya están devengados.</w:t>
      </w:r>
    </w:p>
    <w:p w14:paraId="452C67A7" w14:textId="5600CA1E" w:rsidR="00BB6D7C" w:rsidRPr="006505C2" w:rsidRDefault="006A4E1E" w:rsidP="006A4E1E">
      <w:pPr>
        <w:spacing w:after="0" w:line="276" w:lineRule="auto"/>
        <w:ind w:left="284"/>
        <w:jc w:val="both"/>
        <w:rPr>
          <w:lang w:val="es-ES"/>
        </w:rPr>
      </w:pPr>
      <w:r w:rsidRPr="006A4E1E">
        <w:rPr>
          <w:lang w:val="es-ES"/>
        </w:rPr>
        <w:t>Es importante hacer mención que los indicadores establecidos en la MIR presentaron un importante grado de avance, a pesar de que algunos de ellos no alcanzaron la meta establecida inicialmente.</w:t>
      </w:r>
    </w:p>
    <w:tbl>
      <w:tblPr>
        <w:tblStyle w:val="Tablaconcuadrcula"/>
        <w:tblW w:w="0" w:type="auto"/>
        <w:tblLook w:val="04A0" w:firstRow="1" w:lastRow="0" w:firstColumn="1" w:lastColumn="0" w:noHBand="0" w:noVBand="1"/>
      </w:tblPr>
      <w:tblGrid>
        <w:gridCol w:w="9910"/>
      </w:tblGrid>
      <w:tr w:rsidR="00BB6D7C" w14:paraId="47A3263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61B128B" w14:textId="5C358294"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0F2DA16D" w14:textId="27DD3813" w:rsidR="008D03BB" w:rsidRDefault="008D03BB" w:rsidP="008D03BB">
      <w:pPr>
        <w:pStyle w:val="Prrafodelista"/>
        <w:numPr>
          <w:ilvl w:val="0"/>
          <w:numId w:val="2"/>
        </w:numPr>
        <w:spacing w:after="0" w:line="276" w:lineRule="auto"/>
        <w:jc w:val="both"/>
      </w:pPr>
      <w:r>
        <w:t>Con apego a los ordenamientos legales y reglamentarios vigentes implementar el Servicio Profesional de Carrera Policial (SPCP) mediante la creación de los siguientes instrumentos: Diagnóstico, Comisión Estatal del SPCP, Manuales de Organización y de Procedimientos. Códigos de Conducta y Ética, Sistema informático para el seguimiento administrativo y de la Unidad Administrativa para la operación y seguimiento del SPCP.</w:t>
      </w:r>
    </w:p>
    <w:p w14:paraId="649692E2" w14:textId="4D7260C4" w:rsidR="008D03BB" w:rsidRDefault="008D03BB" w:rsidP="008D03BB">
      <w:pPr>
        <w:pStyle w:val="Prrafodelista"/>
        <w:numPr>
          <w:ilvl w:val="0"/>
          <w:numId w:val="2"/>
        </w:numPr>
        <w:spacing w:after="0" w:line="276" w:lineRule="auto"/>
        <w:jc w:val="both"/>
      </w:pPr>
      <w:r>
        <w:t>Intensificar y dar continuidad a la capacitación del personal que se vincula con los procesos del nuevo Sistema de Justicia Penal, específicamente a policías preventivos, de investigación, agentes del Ministerio Público y peritos.</w:t>
      </w:r>
    </w:p>
    <w:p w14:paraId="7F8DE275" w14:textId="6F7A9909" w:rsidR="008D03BB" w:rsidRDefault="008D03BB" w:rsidP="008D03BB">
      <w:pPr>
        <w:pStyle w:val="Prrafodelista"/>
        <w:numPr>
          <w:ilvl w:val="0"/>
          <w:numId w:val="2"/>
        </w:numPr>
        <w:spacing w:after="0" w:line="276" w:lineRule="auto"/>
        <w:jc w:val="both"/>
      </w:pPr>
      <w:r>
        <w:t>Impulsar la capacitación especializada del personal de criminalística de campo, medicina, dactiloscopia y genética forenses.</w:t>
      </w:r>
    </w:p>
    <w:p w14:paraId="01359419" w14:textId="4B48DB37" w:rsidR="008D03BB" w:rsidRDefault="008D03BB" w:rsidP="008D03BB">
      <w:pPr>
        <w:pStyle w:val="Prrafodelista"/>
        <w:numPr>
          <w:ilvl w:val="0"/>
          <w:numId w:val="2"/>
        </w:numPr>
        <w:spacing w:after="0" w:line="276" w:lineRule="auto"/>
        <w:jc w:val="both"/>
      </w:pPr>
      <w:r>
        <w:t>Se propone la creación de una Comisión (Interinstitucional) Estatal para la prevención del Delito y Participación Ciudadana, con el objetivo de facilitar la coordinación entre las dependencias federales, estatales y municipales.</w:t>
      </w:r>
    </w:p>
    <w:p w14:paraId="7F7F44A4" w14:textId="312003CA" w:rsidR="008D03BB" w:rsidRDefault="008D03BB" w:rsidP="008D03BB">
      <w:pPr>
        <w:pStyle w:val="Prrafodelista"/>
        <w:numPr>
          <w:ilvl w:val="0"/>
          <w:numId w:val="2"/>
        </w:numPr>
        <w:spacing w:after="0" w:line="276" w:lineRule="auto"/>
        <w:jc w:val="both"/>
      </w:pPr>
      <w:r>
        <w:t>Reforzar la seguridad de los centros penitenciarios estatales mediante la incorporación de nuevos elementos de seguridad y custodia en el corto plazo, debidamente formaos y capacitados.</w:t>
      </w:r>
    </w:p>
    <w:p w14:paraId="5079454F" w14:textId="5A5B51BC" w:rsidR="008D03BB" w:rsidRDefault="008D03BB" w:rsidP="008D03BB">
      <w:pPr>
        <w:pStyle w:val="Prrafodelista"/>
        <w:numPr>
          <w:ilvl w:val="0"/>
          <w:numId w:val="2"/>
        </w:numPr>
        <w:spacing w:after="0" w:line="276" w:lineRule="auto"/>
        <w:jc w:val="both"/>
      </w:pPr>
      <w:r>
        <w:t>Priorizar acciones para requerir previsión presupuestal para la adquisición del equipo de comunicación que soporte el procesamiento multiusuario y unidades de respaldo centralizado y cuidar la interoperabilidad de los sistemas.</w:t>
      </w:r>
    </w:p>
    <w:p w14:paraId="5764C522" w14:textId="5C8D0701" w:rsidR="008D03BB" w:rsidRDefault="008D03BB" w:rsidP="008D03BB">
      <w:pPr>
        <w:pStyle w:val="Prrafodelista"/>
        <w:numPr>
          <w:ilvl w:val="0"/>
          <w:numId w:val="2"/>
        </w:numPr>
        <w:spacing w:after="0" w:line="276" w:lineRule="auto"/>
        <w:jc w:val="both"/>
      </w:pPr>
      <w:r>
        <w:t>Es imprescindible contar con pólizas de soporte y mantenimiento para ofrecer un servicio eficiente y de calidad en la atención de llamadas de emergencia.</w:t>
      </w:r>
    </w:p>
    <w:p w14:paraId="47C9E774" w14:textId="5EBE3DD1" w:rsidR="00BB6D7C" w:rsidRDefault="008D03BB" w:rsidP="008D03BB">
      <w:pPr>
        <w:pStyle w:val="Prrafodelista"/>
        <w:numPr>
          <w:ilvl w:val="0"/>
          <w:numId w:val="2"/>
        </w:numPr>
        <w:spacing w:after="0" w:line="276" w:lineRule="auto"/>
        <w:jc w:val="both"/>
      </w:pPr>
      <w:r>
        <w:t>Gestionar ante las instancias del Secretariado Ejecutivo del SNSP efectuar una revisión de los mecanismos para mejorar los tiempos de aprobación del presupuesto e instrumentos jurídicos que posibilitan la disponibilidad de los recursos del FASP para su ejecución oportuna.</w:t>
      </w:r>
    </w:p>
    <w:p w14:paraId="5FA0D0DE" w14:textId="77777777" w:rsidR="00090637" w:rsidRDefault="00090637" w:rsidP="007C4CD6">
      <w:pPr>
        <w:spacing w:after="0" w:line="240" w:lineRule="auto"/>
      </w:pPr>
    </w:p>
    <w:p w14:paraId="54B7BF0B" w14:textId="77777777" w:rsidR="000D2A1A" w:rsidRDefault="000D2A1A" w:rsidP="006F4B1F">
      <w:pPr>
        <w:pStyle w:val="Prrafodelista"/>
        <w:numPr>
          <w:ilvl w:val="0"/>
          <w:numId w:val="4"/>
        </w:numPr>
        <w:spacing w:after="0" w:line="276" w:lineRule="auto"/>
        <w:rPr>
          <w:b/>
          <w:bCs/>
          <w:color w:val="FFFFFF" w:themeColor="background1"/>
        </w:rPr>
        <w:sectPr w:rsidR="000D2A1A" w:rsidSect="006047A9">
          <w:pgSz w:w="12240" w:h="15840"/>
          <w:pgMar w:top="1418" w:right="902" w:bottom="1134" w:left="1418" w:header="567" w:footer="264" w:gutter="0"/>
          <w:cols w:space="708"/>
          <w:titlePg/>
          <w:docGrid w:linePitch="360"/>
        </w:sectPr>
      </w:pPr>
    </w:p>
    <w:tbl>
      <w:tblPr>
        <w:tblStyle w:val="Tablaconcuadrcula"/>
        <w:tblW w:w="0" w:type="auto"/>
        <w:tblLook w:val="04A0" w:firstRow="1" w:lastRow="0" w:firstColumn="1" w:lastColumn="0" w:noHBand="0" w:noVBand="1"/>
      </w:tblPr>
      <w:tblGrid>
        <w:gridCol w:w="9910"/>
      </w:tblGrid>
      <w:tr w:rsidR="00C00CF0" w14:paraId="68195C3C" w14:textId="77777777" w:rsidTr="00090637">
        <w:trPr>
          <w:trHeight w:val="340"/>
        </w:trPr>
        <w:tc>
          <w:tcPr>
            <w:tcW w:w="9910" w:type="dxa"/>
            <w:tcBorders>
              <w:top w:val="nil"/>
              <w:left w:val="nil"/>
              <w:bottom w:val="nil"/>
              <w:right w:val="nil"/>
            </w:tcBorders>
            <w:shd w:val="clear" w:color="auto" w:fill="651D32"/>
            <w:vAlign w:val="center"/>
          </w:tcPr>
          <w:p w14:paraId="0B9ED9E2" w14:textId="669E29EF" w:rsidR="00C00CF0" w:rsidRDefault="00C00CF0" w:rsidP="00C00CF0">
            <w:pPr>
              <w:pStyle w:val="Prrafodelista"/>
              <w:numPr>
                <w:ilvl w:val="0"/>
                <w:numId w:val="4"/>
              </w:numPr>
              <w:spacing w:after="0" w:line="276" w:lineRule="auto"/>
            </w:pPr>
            <w:r>
              <w:rPr>
                <w:b/>
                <w:bCs/>
                <w:color w:val="FFFFFF" w:themeColor="background1"/>
              </w:rPr>
              <w:lastRenderedPageBreak/>
              <w:t>Datos de la Instancia Evaluadora</w:t>
            </w:r>
          </w:p>
        </w:tc>
      </w:tr>
      <w:tr w:rsidR="00C00CF0" w:rsidRPr="006C747D" w14:paraId="54334004"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6CF27B7" w14:textId="2512A0F2" w:rsidR="00C00CF0" w:rsidRPr="006C747D" w:rsidRDefault="00C00CF0" w:rsidP="00C00CF0">
            <w:pPr>
              <w:pStyle w:val="Prrafodelista"/>
              <w:numPr>
                <w:ilvl w:val="1"/>
                <w:numId w:val="12"/>
              </w:numPr>
              <w:spacing w:after="0" w:line="276" w:lineRule="auto"/>
              <w:ind w:left="604"/>
              <w:rPr>
                <w:b/>
                <w:bCs/>
              </w:rPr>
            </w:pPr>
            <w:r>
              <w:rPr>
                <w:b/>
                <w:bCs/>
              </w:rPr>
              <w:t>Nombre del Coordinador de la Evaluación:</w:t>
            </w:r>
          </w:p>
        </w:tc>
      </w:tr>
      <w:tr w:rsidR="00C00CF0" w:rsidRPr="00133709" w14:paraId="70265CC7" w14:textId="77777777" w:rsidTr="00090637">
        <w:trPr>
          <w:trHeight w:val="340"/>
        </w:trPr>
        <w:tc>
          <w:tcPr>
            <w:tcW w:w="9910" w:type="dxa"/>
            <w:tcBorders>
              <w:top w:val="nil"/>
              <w:left w:val="nil"/>
              <w:bottom w:val="nil"/>
              <w:right w:val="nil"/>
            </w:tcBorders>
            <w:shd w:val="clear" w:color="auto" w:fill="auto"/>
            <w:vAlign w:val="center"/>
          </w:tcPr>
          <w:p w14:paraId="2213E434" w14:textId="7F294826" w:rsidR="00C00CF0" w:rsidRPr="00133709" w:rsidRDefault="00C00CF0" w:rsidP="00C00CF0">
            <w:pPr>
              <w:spacing w:after="0" w:line="276" w:lineRule="auto"/>
              <w:ind w:left="179"/>
            </w:pPr>
            <w:r>
              <w:t>Domingo Vega González</w:t>
            </w:r>
          </w:p>
        </w:tc>
      </w:tr>
      <w:tr w:rsidR="00C00CF0" w:rsidRPr="006C747D" w14:paraId="0D32B37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9181D8E" w14:textId="3F206422" w:rsidR="00C00CF0" w:rsidRPr="006C747D" w:rsidRDefault="00C00CF0" w:rsidP="00C00CF0">
            <w:pPr>
              <w:pStyle w:val="Prrafodelista"/>
              <w:numPr>
                <w:ilvl w:val="1"/>
                <w:numId w:val="12"/>
              </w:numPr>
              <w:spacing w:after="0" w:line="276" w:lineRule="auto"/>
              <w:ind w:left="604"/>
              <w:rPr>
                <w:b/>
                <w:bCs/>
              </w:rPr>
            </w:pPr>
            <w:r>
              <w:rPr>
                <w:b/>
                <w:bCs/>
              </w:rPr>
              <w:t>Cargo:</w:t>
            </w:r>
          </w:p>
        </w:tc>
      </w:tr>
      <w:tr w:rsidR="00C00CF0" w:rsidRPr="00133709" w14:paraId="5038A06A" w14:textId="77777777" w:rsidTr="00090637">
        <w:trPr>
          <w:trHeight w:val="340"/>
        </w:trPr>
        <w:tc>
          <w:tcPr>
            <w:tcW w:w="9910" w:type="dxa"/>
            <w:tcBorders>
              <w:top w:val="nil"/>
              <w:left w:val="nil"/>
              <w:bottom w:val="nil"/>
              <w:right w:val="nil"/>
            </w:tcBorders>
            <w:shd w:val="clear" w:color="auto" w:fill="auto"/>
            <w:vAlign w:val="center"/>
          </w:tcPr>
          <w:p w14:paraId="0209E23B" w14:textId="4F98753B" w:rsidR="00C00CF0" w:rsidRPr="00133709" w:rsidRDefault="00C00CF0" w:rsidP="00C00CF0">
            <w:pPr>
              <w:spacing w:after="0" w:line="276" w:lineRule="auto"/>
              <w:ind w:left="179"/>
            </w:pPr>
            <w:r>
              <w:t xml:space="preserve">Departamento de Planeación </w:t>
            </w:r>
          </w:p>
        </w:tc>
      </w:tr>
      <w:tr w:rsidR="00C00CF0" w:rsidRPr="006C747D" w14:paraId="3DB9284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2645260" w14:textId="127DAEA7" w:rsidR="00C00CF0" w:rsidRPr="006C747D" w:rsidRDefault="00C00CF0" w:rsidP="00C00CF0">
            <w:pPr>
              <w:pStyle w:val="Prrafodelista"/>
              <w:numPr>
                <w:ilvl w:val="1"/>
                <w:numId w:val="12"/>
              </w:numPr>
              <w:spacing w:after="0" w:line="276" w:lineRule="auto"/>
              <w:ind w:left="604"/>
              <w:rPr>
                <w:b/>
                <w:bCs/>
              </w:rPr>
            </w:pPr>
            <w:r>
              <w:rPr>
                <w:b/>
                <w:bCs/>
              </w:rPr>
              <w:t>Institución a la que Pertenece:</w:t>
            </w:r>
          </w:p>
        </w:tc>
      </w:tr>
      <w:tr w:rsidR="00C00CF0" w14:paraId="7A6AB003" w14:textId="77777777" w:rsidTr="00090637">
        <w:trPr>
          <w:trHeight w:val="340"/>
        </w:trPr>
        <w:tc>
          <w:tcPr>
            <w:tcW w:w="9910" w:type="dxa"/>
            <w:tcBorders>
              <w:top w:val="nil"/>
              <w:left w:val="nil"/>
              <w:bottom w:val="nil"/>
              <w:right w:val="nil"/>
            </w:tcBorders>
            <w:shd w:val="clear" w:color="auto" w:fill="auto"/>
            <w:vAlign w:val="center"/>
          </w:tcPr>
          <w:p w14:paraId="76D23C92" w14:textId="324A0452" w:rsidR="00C00CF0" w:rsidRPr="00133709" w:rsidRDefault="00C00CF0" w:rsidP="00C00CF0">
            <w:pPr>
              <w:spacing w:after="0" w:line="276" w:lineRule="auto"/>
              <w:ind w:left="179"/>
            </w:pPr>
            <w:r>
              <w:t>Secretariado Ejecutivo del Sistema Estatal de Seguridad Pública</w:t>
            </w:r>
          </w:p>
        </w:tc>
      </w:tr>
      <w:tr w:rsidR="00C00CF0" w:rsidRPr="006C747D" w14:paraId="6A76EB8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061FEC1" w14:textId="49BDE1DA" w:rsidR="00C00CF0" w:rsidRPr="006C747D" w:rsidRDefault="00C00CF0" w:rsidP="00C00CF0">
            <w:pPr>
              <w:pStyle w:val="Prrafodelista"/>
              <w:numPr>
                <w:ilvl w:val="1"/>
                <w:numId w:val="12"/>
              </w:numPr>
              <w:spacing w:after="0" w:line="276" w:lineRule="auto"/>
              <w:ind w:left="604"/>
              <w:rPr>
                <w:b/>
                <w:bCs/>
              </w:rPr>
            </w:pPr>
            <w:r>
              <w:rPr>
                <w:b/>
                <w:bCs/>
              </w:rPr>
              <w:t>Principales Colaboradores:</w:t>
            </w:r>
          </w:p>
        </w:tc>
      </w:tr>
      <w:tr w:rsidR="00C00CF0" w14:paraId="21DF6F92" w14:textId="77777777" w:rsidTr="00090637">
        <w:trPr>
          <w:trHeight w:val="340"/>
        </w:trPr>
        <w:tc>
          <w:tcPr>
            <w:tcW w:w="9910" w:type="dxa"/>
            <w:tcBorders>
              <w:top w:val="nil"/>
              <w:left w:val="nil"/>
              <w:bottom w:val="nil"/>
              <w:right w:val="nil"/>
            </w:tcBorders>
            <w:shd w:val="clear" w:color="auto" w:fill="auto"/>
            <w:vAlign w:val="center"/>
          </w:tcPr>
          <w:p w14:paraId="7B12F8CB" w14:textId="318AD94E" w:rsidR="00C00CF0" w:rsidRPr="00133709" w:rsidRDefault="00C00CF0" w:rsidP="00C00CF0">
            <w:pPr>
              <w:spacing w:after="0" w:line="276" w:lineRule="auto"/>
              <w:ind w:left="179"/>
            </w:pPr>
            <w:r>
              <w:rPr>
                <w:lang w:val="pt-BR"/>
              </w:rPr>
              <w:t xml:space="preserve">Jorge Aguirre </w:t>
            </w:r>
            <w:proofErr w:type="spellStart"/>
            <w:r>
              <w:rPr>
                <w:lang w:val="pt-BR"/>
              </w:rPr>
              <w:t>Pablos</w:t>
            </w:r>
            <w:proofErr w:type="spellEnd"/>
            <w:r>
              <w:rPr>
                <w:lang w:val="pt-BR"/>
              </w:rPr>
              <w:t>, Elsa Pico Aguirre, Celia Silvas Camacho</w:t>
            </w:r>
          </w:p>
        </w:tc>
      </w:tr>
      <w:tr w:rsidR="00C00CF0" w:rsidRPr="006C747D" w14:paraId="311ADA1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93CEB46" w14:textId="62CAC006" w:rsidR="00C00CF0" w:rsidRPr="006C747D" w:rsidRDefault="00C00CF0" w:rsidP="00C00CF0">
            <w:pPr>
              <w:pStyle w:val="Prrafodelista"/>
              <w:numPr>
                <w:ilvl w:val="1"/>
                <w:numId w:val="12"/>
              </w:numPr>
              <w:spacing w:after="0" w:line="276" w:lineRule="auto"/>
              <w:ind w:left="604"/>
              <w:rPr>
                <w:b/>
                <w:bCs/>
              </w:rPr>
            </w:pPr>
            <w:r>
              <w:rPr>
                <w:b/>
                <w:bCs/>
              </w:rPr>
              <w:t>Correo Electrónico del Coordinador de la Evaluación:</w:t>
            </w:r>
          </w:p>
        </w:tc>
      </w:tr>
      <w:tr w:rsidR="00C00CF0" w14:paraId="37BBDDC3" w14:textId="77777777" w:rsidTr="00090637">
        <w:trPr>
          <w:trHeight w:val="340"/>
        </w:trPr>
        <w:tc>
          <w:tcPr>
            <w:tcW w:w="9910" w:type="dxa"/>
            <w:tcBorders>
              <w:top w:val="nil"/>
              <w:left w:val="nil"/>
              <w:bottom w:val="nil"/>
              <w:right w:val="nil"/>
            </w:tcBorders>
            <w:shd w:val="clear" w:color="auto" w:fill="auto"/>
            <w:vAlign w:val="center"/>
          </w:tcPr>
          <w:p w14:paraId="5A5631A8" w14:textId="2DF140A0" w:rsidR="00C00CF0" w:rsidRPr="00133709" w:rsidRDefault="00752EAE" w:rsidP="00C00CF0">
            <w:pPr>
              <w:spacing w:after="0" w:line="276" w:lineRule="auto"/>
              <w:ind w:left="179"/>
            </w:pPr>
            <w:hyperlink r:id="rId11" w:history="1">
              <w:r w:rsidR="00C00CF0" w:rsidRPr="00D6021A">
                <w:rPr>
                  <w:rStyle w:val="Hipervnculo"/>
                </w:rPr>
                <w:t>domingo.vega@sinaloa.gob.mx</w:t>
              </w:r>
            </w:hyperlink>
            <w:r w:rsidR="00C00CF0">
              <w:t xml:space="preserve"> </w:t>
            </w:r>
          </w:p>
        </w:tc>
      </w:tr>
      <w:tr w:rsidR="00C00CF0" w:rsidRPr="006C747D" w14:paraId="7284F1B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0E692389" w14:textId="48FF2A4C" w:rsidR="00C00CF0" w:rsidRPr="006C747D" w:rsidRDefault="00C00CF0" w:rsidP="00C00CF0">
            <w:pPr>
              <w:pStyle w:val="Prrafodelista"/>
              <w:numPr>
                <w:ilvl w:val="1"/>
                <w:numId w:val="12"/>
              </w:numPr>
              <w:spacing w:after="0" w:line="276" w:lineRule="auto"/>
              <w:ind w:left="604"/>
              <w:rPr>
                <w:b/>
                <w:bCs/>
              </w:rPr>
            </w:pPr>
            <w:r>
              <w:rPr>
                <w:b/>
                <w:bCs/>
              </w:rPr>
              <w:t>Teléfono:</w:t>
            </w:r>
          </w:p>
        </w:tc>
      </w:tr>
      <w:tr w:rsidR="00C00CF0" w14:paraId="76E0DD5B" w14:textId="77777777" w:rsidTr="00090637">
        <w:trPr>
          <w:trHeight w:val="340"/>
        </w:trPr>
        <w:tc>
          <w:tcPr>
            <w:tcW w:w="9910" w:type="dxa"/>
            <w:tcBorders>
              <w:top w:val="nil"/>
              <w:left w:val="nil"/>
              <w:bottom w:val="nil"/>
              <w:right w:val="nil"/>
            </w:tcBorders>
            <w:shd w:val="clear" w:color="auto" w:fill="auto"/>
            <w:vAlign w:val="center"/>
          </w:tcPr>
          <w:p w14:paraId="5B235E2D" w14:textId="777D1731" w:rsidR="00C00CF0" w:rsidRPr="00133709" w:rsidRDefault="00C00CF0" w:rsidP="00C00CF0">
            <w:pPr>
              <w:spacing w:after="0" w:line="276" w:lineRule="auto"/>
              <w:ind w:left="179"/>
            </w:pPr>
            <w:r>
              <w:t xml:space="preserve">(667) 846 58 </w:t>
            </w:r>
            <w:proofErr w:type="gramStart"/>
            <w:r>
              <w:t xml:space="preserve">05  </w:t>
            </w:r>
            <w:proofErr w:type="spellStart"/>
            <w:r>
              <w:t>ext</w:t>
            </w:r>
            <w:proofErr w:type="spellEnd"/>
            <w:proofErr w:type="gramEnd"/>
            <w:r>
              <w:t>: 16058</w:t>
            </w:r>
          </w:p>
        </w:tc>
      </w:tr>
    </w:tbl>
    <w:p w14:paraId="1D5D95C6"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3CB1920" w14:textId="77777777" w:rsidTr="00090637">
        <w:trPr>
          <w:trHeight w:val="340"/>
        </w:trPr>
        <w:tc>
          <w:tcPr>
            <w:tcW w:w="9910" w:type="dxa"/>
            <w:gridSpan w:val="4"/>
            <w:shd w:val="clear" w:color="auto" w:fill="651D32"/>
            <w:vAlign w:val="center"/>
          </w:tcPr>
          <w:p w14:paraId="06213A6D" w14:textId="442EC471"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25014A2" w14:textId="77777777" w:rsidTr="00090637">
        <w:trPr>
          <w:trHeight w:val="340"/>
        </w:trPr>
        <w:tc>
          <w:tcPr>
            <w:tcW w:w="9910" w:type="dxa"/>
            <w:gridSpan w:val="4"/>
            <w:shd w:val="clear" w:color="auto" w:fill="F2F2F2" w:themeFill="background1" w:themeFillShade="F2"/>
            <w:vAlign w:val="center"/>
          </w:tcPr>
          <w:p w14:paraId="618FBCEF" w14:textId="620C88A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38942E9E" w14:textId="77777777" w:rsidTr="00090637">
        <w:trPr>
          <w:trHeight w:val="340"/>
        </w:trPr>
        <w:tc>
          <w:tcPr>
            <w:tcW w:w="9910" w:type="dxa"/>
            <w:gridSpan w:val="4"/>
            <w:shd w:val="clear" w:color="auto" w:fill="auto"/>
            <w:vAlign w:val="center"/>
          </w:tcPr>
          <w:p w14:paraId="353475B3" w14:textId="72928B2F" w:rsidR="007C4CD6" w:rsidRPr="00521401" w:rsidRDefault="008D03BB" w:rsidP="00521401">
            <w:pPr>
              <w:spacing w:after="0" w:line="276" w:lineRule="auto"/>
              <w:ind w:left="179"/>
            </w:pPr>
            <w:r>
              <w:rPr>
                <w:rFonts w:eastAsia="Times New Roman"/>
                <w:color w:val="000000"/>
                <w:lang w:eastAsia="es-MX"/>
              </w:rPr>
              <w:t>Fondo de Aportaciones para la Seguridad Pública</w:t>
            </w:r>
          </w:p>
        </w:tc>
      </w:tr>
      <w:tr w:rsidR="007C4CD6" w:rsidRPr="007C4CD6" w14:paraId="056B9917" w14:textId="77777777" w:rsidTr="00090637">
        <w:trPr>
          <w:trHeight w:val="340"/>
        </w:trPr>
        <w:tc>
          <w:tcPr>
            <w:tcW w:w="9910" w:type="dxa"/>
            <w:gridSpan w:val="4"/>
            <w:shd w:val="clear" w:color="auto" w:fill="F2F2F2" w:themeFill="background1" w:themeFillShade="F2"/>
            <w:vAlign w:val="center"/>
          </w:tcPr>
          <w:p w14:paraId="27CD2E07" w14:textId="01F43A60"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2CCA7CA2" w14:textId="77777777" w:rsidTr="00090637">
        <w:trPr>
          <w:trHeight w:val="340"/>
        </w:trPr>
        <w:tc>
          <w:tcPr>
            <w:tcW w:w="9910" w:type="dxa"/>
            <w:gridSpan w:val="4"/>
            <w:shd w:val="clear" w:color="auto" w:fill="auto"/>
            <w:vAlign w:val="center"/>
          </w:tcPr>
          <w:p w14:paraId="0BDCB2F8" w14:textId="5849BF31" w:rsidR="007C4CD6" w:rsidRPr="007C4CD6" w:rsidRDefault="008D03BB" w:rsidP="00521401">
            <w:pPr>
              <w:spacing w:after="0" w:line="276" w:lineRule="auto"/>
              <w:ind w:left="179"/>
            </w:pPr>
            <w:r>
              <w:t>FASP</w:t>
            </w:r>
          </w:p>
        </w:tc>
      </w:tr>
      <w:tr w:rsidR="007C4CD6" w:rsidRPr="007C4CD6" w14:paraId="22B56479" w14:textId="77777777" w:rsidTr="00090637">
        <w:trPr>
          <w:trHeight w:val="340"/>
        </w:trPr>
        <w:tc>
          <w:tcPr>
            <w:tcW w:w="9910" w:type="dxa"/>
            <w:gridSpan w:val="4"/>
            <w:shd w:val="clear" w:color="auto" w:fill="F2F2F2" w:themeFill="background1" w:themeFillShade="F2"/>
            <w:vAlign w:val="center"/>
          </w:tcPr>
          <w:p w14:paraId="6F1C1097" w14:textId="086350F1"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51C0C6E4" w14:textId="77777777" w:rsidTr="00090637">
        <w:trPr>
          <w:trHeight w:val="340"/>
        </w:trPr>
        <w:tc>
          <w:tcPr>
            <w:tcW w:w="9910" w:type="dxa"/>
            <w:gridSpan w:val="4"/>
            <w:shd w:val="clear" w:color="auto" w:fill="auto"/>
            <w:vAlign w:val="center"/>
          </w:tcPr>
          <w:p w14:paraId="23DC33ED" w14:textId="29E165F2" w:rsidR="007C4CD6" w:rsidRPr="007C4CD6" w:rsidRDefault="008D03BB" w:rsidP="00521401">
            <w:pPr>
              <w:spacing w:after="0" w:line="276" w:lineRule="auto"/>
              <w:ind w:left="179"/>
            </w:pPr>
            <w:r>
              <w:rPr>
                <w:rFonts w:eastAsia="Times New Roman"/>
                <w:color w:val="000000"/>
                <w:lang w:eastAsia="es-MX"/>
              </w:rPr>
              <w:t>SESESP</w:t>
            </w:r>
          </w:p>
        </w:tc>
      </w:tr>
      <w:tr w:rsidR="007C4CD6" w:rsidRPr="007C4CD6" w14:paraId="32119F28" w14:textId="77777777" w:rsidTr="00090637">
        <w:trPr>
          <w:trHeight w:val="340"/>
        </w:trPr>
        <w:tc>
          <w:tcPr>
            <w:tcW w:w="9910" w:type="dxa"/>
            <w:gridSpan w:val="4"/>
            <w:shd w:val="clear" w:color="auto" w:fill="F2F2F2" w:themeFill="background1" w:themeFillShade="F2"/>
            <w:vAlign w:val="center"/>
          </w:tcPr>
          <w:p w14:paraId="6B9AF0B7" w14:textId="4F028362"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53218E78" w14:textId="5CFE3A59" w:rsidTr="00090637">
        <w:trPr>
          <w:trHeight w:val="340"/>
        </w:trPr>
        <w:tc>
          <w:tcPr>
            <w:tcW w:w="2405" w:type="dxa"/>
            <w:shd w:val="clear" w:color="auto" w:fill="F2F2F2" w:themeFill="background1" w:themeFillShade="F2"/>
            <w:vAlign w:val="center"/>
          </w:tcPr>
          <w:p w14:paraId="00298009" w14:textId="048EC069"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51E3730B" w14:textId="6C4B3B34"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3182DD49" w14:textId="1D2B3B4B"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2011555B" w14:textId="1E8E7A66" w:rsidR="005A28B9" w:rsidRPr="005A28B9" w:rsidRDefault="005A28B9" w:rsidP="00090637">
            <w:pPr>
              <w:spacing w:after="0" w:line="276" w:lineRule="auto"/>
              <w:jc w:val="center"/>
              <w:rPr>
                <w:b/>
                <w:bCs/>
              </w:rPr>
            </w:pPr>
            <w:r w:rsidRPr="005A28B9">
              <w:rPr>
                <w:b/>
                <w:bCs/>
              </w:rPr>
              <w:t>Ente Autónomo:</w:t>
            </w:r>
          </w:p>
        </w:tc>
      </w:tr>
      <w:tr w:rsidR="005A28B9" w14:paraId="071AAD26" w14:textId="77777777" w:rsidTr="00090637">
        <w:trPr>
          <w:trHeight w:val="340"/>
        </w:trPr>
        <w:tc>
          <w:tcPr>
            <w:tcW w:w="2405" w:type="dxa"/>
            <w:shd w:val="clear" w:color="auto" w:fill="auto"/>
            <w:vAlign w:val="center"/>
          </w:tcPr>
          <w:p w14:paraId="6C6979F7" w14:textId="73782833" w:rsidR="005A28B9" w:rsidRPr="00A16BE7" w:rsidRDefault="005A28B9" w:rsidP="00090637">
            <w:pPr>
              <w:spacing w:after="0" w:line="276" w:lineRule="auto"/>
              <w:jc w:val="center"/>
            </w:pPr>
            <w:r>
              <w:t>X</w:t>
            </w:r>
          </w:p>
        </w:tc>
        <w:tc>
          <w:tcPr>
            <w:tcW w:w="2410" w:type="dxa"/>
            <w:shd w:val="clear" w:color="auto" w:fill="auto"/>
            <w:vAlign w:val="center"/>
          </w:tcPr>
          <w:p w14:paraId="2578E84D" w14:textId="77777777" w:rsidR="005A28B9" w:rsidRPr="00A16BE7" w:rsidRDefault="005A28B9" w:rsidP="00090637">
            <w:pPr>
              <w:spacing w:after="0" w:line="276" w:lineRule="auto"/>
              <w:jc w:val="center"/>
            </w:pPr>
          </w:p>
        </w:tc>
        <w:tc>
          <w:tcPr>
            <w:tcW w:w="2551" w:type="dxa"/>
            <w:shd w:val="clear" w:color="auto" w:fill="auto"/>
            <w:vAlign w:val="center"/>
          </w:tcPr>
          <w:p w14:paraId="2A749748" w14:textId="77777777" w:rsidR="005A28B9" w:rsidRPr="00A16BE7" w:rsidRDefault="005A28B9" w:rsidP="00090637">
            <w:pPr>
              <w:spacing w:after="0" w:line="276" w:lineRule="auto"/>
              <w:jc w:val="center"/>
            </w:pPr>
          </w:p>
        </w:tc>
        <w:tc>
          <w:tcPr>
            <w:tcW w:w="2544" w:type="dxa"/>
            <w:shd w:val="clear" w:color="auto" w:fill="auto"/>
            <w:vAlign w:val="center"/>
          </w:tcPr>
          <w:p w14:paraId="55DC7FAB" w14:textId="77777777" w:rsidR="005A28B9" w:rsidRPr="00A16BE7" w:rsidRDefault="005A28B9" w:rsidP="00090637">
            <w:pPr>
              <w:spacing w:after="0" w:line="276" w:lineRule="auto"/>
              <w:jc w:val="center"/>
            </w:pPr>
          </w:p>
        </w:tc>
      </w:tr>
    </w:tbl>
    <w:p w14:paraId="73A3758A"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46DB65BF" w14:textId="77777777" w:rsidTr="00090637">
        <w:trPr>
          <w:trHeight w:val="340"/>
        </w:trPr>
        <w:tc>
          <w:tcPr>
            <w:tcW w:w="9910" w:type="dxa"/>
            <w:gridSpan w:val="3"/>
            <w:shd w:val="clear" w:color="auto" w:fill="F2F2F2" w:themeFill="background1" w:themeFillShade="F2"/>
            <w:vAlign w:val="center"/>
          </w:tcPr>
          <w:p w14:paraId="580159B5" w14:textId="35CE2E2A"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5AE65704" w14:textId="77777777" w:rsidTr="00090637">
        <w:trPr>
          <w:trHeight w:val="340"/>
        </w:trPr>
        <w:tc>
          <w:tcPr>
            <w:tcW w:w="3256" w:type="dxa"/>
            <w:shd w:val="clear" w:color="auto" w:fill="F2F2F2" w:themeFill="background1" w:themeFillShade="F2"/>
            <w:vAlign w:val="center"/>
          </w:tcPr>
          <w:p w14:paraId="6FE76825"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1B9343FC"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7BA3EDCA" w14:textId="77777777" w:rsidR="005A28B9" w:rsidRPr="005A28B9" w:rsidRDefault="005A28B9" w:rsidP="00287214">
            <w:pPr>
              <w:spacing w:after="0" w:line="276" w:lineRule="auto"/>
              <w:jc w:val="center"/>
              <w:rPr>
                <w:b/>
                <w:bCs/>
              </w:rPr>
            </w:pPr>
            <w:r w:rsidRPr="005A28B9">
              <w:rPr>
                <w:b/>
                <w:bCs/>
              </w:rPr>
              <w:t>Local:</w:t>
            </w:r>
          </w:p>
        </w:tc>
      </w:tr>
      <w:tr w:rsidR="00090637" w:rsidRPr="005A28B9" w14:paraId="508CFCE7" w14:textId="77777777" w:rsidTr="00090637">
        <w:trPr>
          <w:trHeight w:val="340"/>
        </w:trPr>
        <w:tc>
          <w:tcPr>
            <w:tcW w:w="3256" w:type="dxa"/>
            <w:shd w:val="clear" w:color="auto" w:fill="auto"/>
            <w:vAlign w:val="center"/>
          </w:tcPr>
          <w:p w14:paraId="120D5838" w14:textId="4655BA63" w:rsidR="00090637" w:rsidRPr="00005672" w:rsidRDefault="00005672" w:rsidP="00287214">
            <w:pPr>
              <w:spacing w:after="0" w:line="276" w:lineRule="auto"/>
              <w:jc w:val="center"/>
            </w:pPr>
            <w:r w:rsidRPr="00005672">
              <w:t>X</w:t>
            </w:r>
          </w:p>
        </w:tc>
        <w:tc>
          <w:tcPr>
            <w:tcW w:w="3402" w:type="dxa"/>
            <w:shd w:val="clear" w:color="auto" w:fill="auto"/>
            <w:vAlign w:val="center"/>
          </w:tcPr>
          <w:p w14:paraId="24FE1AB0" w14:textId="76D0E107" w:rsidR="00090637" w:rsidRPr="00090637" w:rsidRDefault="00090637" w:rsidP="00287214">
            <w:pPr>
              <w:spacing w:after="0" w:line="276" w:lineRule="auto"/>
              <w:jc w:val="center"/>
            </w:pPr>
          </w:p>
        </w:tc>
        <w:tc>
          <w:tcPr>
            <w:tcW w:w="3252" w:type="dxa"/>
            <w:shd w:val="clear" w:color="auto" w:fill="auto"/>
            <w:vAlign w:val="center"/>
          </w:tcPr>
          <w:p w14:paraId="43528A35" w14:textId="77777777" w:rsidR="00090637" w:rsidRPr="005A28B9" w:rsidRDefault="00090637" w:rsidP="00287214">
            <w:pPr>
              <w:spacing w:after="0" w:line="276" w:lineRule="auto"/>
              <w:jc w:val="center"/>
              <w:rPr>
                <w:b/>
                <w:bCs/>
              </w:rPr>
            </w:pPr>
          </w:p>
        </w:tc>
      </w:tr>
      <w:tr w:rsidR="007C4CD6" w:rsidRPr="005A28B9" w14:paraId="152295D0" w14:textId="77777777" w:rsidTr="00090637">
        <w:trPr>
          <w:trHeight w:val="706"/>
        </w:trPr>
        <w:tc>
          <w:tcPr>
            <w:tcW w:w="9910" w:type="dxa"/>
            <w:gridSpan w:val="3"/>
            <w:shd w:val="clear" w:color="auto" w:fill="F2F2F2" w:themeFill="background1" w:themeFillShade="F2"/>
            <w:vAlign w:val="center"/>
          </w:tcPr>
          <w:p w14:paraId="70415339" w14:textId="5F73E3BE"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2C386356" w14:textId="77777777" w:rsidTr="00090637">
        <w:trPr>
          <w:trHeight w:val="340"/>
        </w:trPr>
        <w:tc>
          <w:tcPr>
            <w:tcW w:w="9910" w:type="dxa"/>
            <w:gridSpan w:val="3"/>
            <w:shd w:val="clear" w:color="auto" w:fill="F2F2F2" w:themeFill="background1" w:themeFillShade="F2"/>
            <w:vAlign w:val="center"/>
          </w:tcPr>
          <w:p w14:paraId="3B1192C5" w14:textId="2DE9148F"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7C4CD6" w14:paraId="4C1D24D1" w14:textId="77777777" w:rsidTr="00090637">
        <w:trPr>
          <w:trHeight w:val="340"/>
        </w:trPr>
        <w:tc>
          <w:tcPr>
            <w:tcW w:w="9910" w:type="dxa"/>
            <w:gridSpan w:val="3"/>
            <w:shd w:val="clear" w:color="auto" w:fill="auto"/>
            <w:vAlign w:val="center"/>
          </w:tcPr>
          <w:p w14:paraId="6ADA19D0" w14:textId="22386294" w:rsidR="007C4CD6" w:rsidRPr="00521401" w:rsidRDefault="008D03BB" w:rsidP="00521401">
            <w:pPr>
              <w:spacing w:after="0" w:line="276" w:lineRule="auto"/>
              <w:ind w:left="179"/>
            </w:pPr>
            <w:r>
              <w:rPr>
                <w:rFonts w:eastAsia="Times New Roman"/>
                <w:color w:val="000000"/>
                <w:lang w:eastAsia="es-MX"/>
              </w:rPr>
              <w:t>Gustavo Guzmán Cázares</w:t>
            </w:r>
          </w:p>
        </w:tc>
      </w:tr>
      <w:tr w:rsidR="00925C75" w:rsidRPr="00A753A2" w14:paraId="29CF77C8" w14:textId="77777777" w:rsidTr="00090637">
        <w:trPr>
          <w:trHeight w:val="340"/>
        </w:trPr>
        <w:tc>
          <w:tcPr>
            <w:tcW w:w="9910" w:type="dxa"/>
            <w:gridSpan w:val="3"/>
            <w:shd w:val="clear" w:color="auto" w:fill="F2F2F2" w:themeFill="background1" w:themeFillShade="F2"/>
            <w:vAlign w:val="center"/>
          </w:tcPr>
          <w:p w14:paraId="77AFAEBD" w14:textId="3B68C548"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925C75" w14:paraId="729D8B93" w14:textId="77777777" w:rsidTr="00090637">
        <w:trPr>
          <w:trHeight w:val="340"/>
        </w:trPr>
        <w:tc>
          <w:tcPr>
            <w:tcW w:w="9910" w:type="dxa"/>
            <w:gridSpan w:val="3"/>
            <w:shd w:val="clear" w:color="auto" w:fill="auto"/>
            <w:vAlign w:val="center"/>
          </w:tcPr>
          <w:p w14:paraId="1901BC32" w14:textId="21751969" w:rsidR="00925C75" w:rsidRPr="007301C5" w:rsidRDefault="00752EAE" w:rsidP="002172CE">
            <w:pPr>
              <w:spacing w:after="0" w:line="276" w:lineRule="auto"/>
              <w:ind w:left="179"/>
            </w:pPr>
            <w:hyperlink r:id="rId12" w:history="1">
              <w:r w:rsidR="008D03BB" w:rsidRPr="00F16AD9">
                <w:rPr>
                  <w:rStyle w:val="Hipervnculo"/>
                  <w:rFonts w:eastAsia="Times New Roman"/>
                  <w:lang w:eastAsia="es-MX"/>
                </w:rPr>
                <w:t>gustavo.guzman@sinaloa.gob.mx</w:t>
              </w:r>
            </w:hyperlink>
            <w:r w:rsidR="008D03BB">
              <w:rPr>
                <w:rFonts w:eastAsia="Times New Roman"/>
                <w:color w:val="000000"/>
                <w:lang w:eastAsia="es-MX"/>
              </w:rPr>
              <w:t xml:space="preserve"> </w:t>
            </w:r>
          </w:p>
        </w:tc>
      </w:tr>
      <w:tr w:rsidR="00A753A2" w:rsidRPr="00A753A2" w14:paraId="5680E005" w14:textId="77777777" w:rsidTr="00090637">
        <w:trPr>
          <w:trHeight w:val="340"/>
        </w:trPr>
        <w:tc>
          <w:tcPr>
            <w:tcW w:w="9910" w:type="dxa"/>
            <w:gridSpan w:val="3"/>
            <w:shd w:val="clear" w:color="auto" w:fill="F2F2F2" w:themeFill="background1" w:themeFillShade="F2"/>
            <w:vAlign w:val="center"/>
          </w:tcPr>
          <w:p w14:paraId="419043AB" w14:textId="2FD2DD8B"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925C75" w14:paraId="41071585" w14:textId="77777777" w:rsidTr="00090637">
        <w:trPr>
          <w:trHeight w:val="340"/>
        </w:trPr>
        <w:tc>
          <w:tcPr>
            <w:tcW w:w="9910" w:type="dxa"/>
            <w:gridSpan w:val="3"/>
            <w:shd w:val="clear" w:color="auto" w:fill="auto"/>
            <w:vAlign w:val="center"/>
          </w:tcPr>
          <w:p w14:paraId="29C3364E" w14:textId="44DFFBFE" w:rsidR="00925C75" w:rsidRPr="007301C5" w:rsidRDefault="008D03BB" w:rsidP="00521401">
            <w:pPr>
              <w:spacing w:after="0" w:line="276" w:lineRule="auto"/>
              <w:ind w:left="179"/>
            </w:pPr>
            <w:r>
              <w:rPr>
                <w:rFonts w:eastAsia="Times New Roman"/>
                <w:color w:val="000000"/>
                <w:lang w:eastAsia="es-MX"/>
              </w:rPr>
              <w:t>Dirección de Planeación y Operación de Recursos Federales y Estatales</w:t>
            </w:r>
          </w:p>
        </w:tc>
      </w:tr>
      <w:tr w:rsidR="00A753A2" w:rsidRPr="00A753A2" w14:paraId="11C12930" w14:textId="77777777" w:rsidTr="00090637">
        <w:trPr>
          <w:trHeight w:val="340"/>
        </w:trPr>
        <w:tc>
          <w:tcPr>
            <w:tcW w:w="9910" w:type="dxa"/>
            <w:gridSpan w:val="3"/>
            <w:shd w:val="clear" w:color="auto" w:fill="F2F2F2" w:themeFill="background1" w:themeFillShade="F2"/>
            <w:vAlign w:val="center"/>
          </w:tcPr>
          <w:p w14:paraId="70B603EA" w14:textId="4A49A6B6"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sidR="00287214">
              <w:rPr>
                <w:rFonts w:eastAsia="Times New Roman"/>
                <w:b/>
                <w:color w:val="000000"/>
                <w:lang w:eastAsia="es-MX"/>
              </w:rPr>
              <w:t xml:space="preserve">clave </w:t>
            </w:r>
            <w:r w:rsidRPr="00A753A2">
              <w:rPr>
                <w:rFonts w:eastAsia="Times New Roman"/>
                <w:b/>
                <w:color w:val="000000"/>
                <w:lang w:eastAsia="es-MX"/>
              </w:rPr>
              <w:t>lada:</w:t>
            </w:r>
          </w:p>
        </w:tc>
      </w:tr>
      <w:tr w:rsidR="00925C75" w14:paraId="369129FE" w14:textId="77777777" w:rsidTr="00090637">
        <w:trPr>
          <w:trHeight w:val="340"/>
        </w:trPr>
        <w:tc>
          <w:tcPr>
            <w:tcW w:w="9910" w:type="dxa"/>
            <w:gridSpan w:val="3"/>
            <w:shd w:val="clear" w:color="auto" w:fill="auto"/>
            <w:vAlign w:val="center"/>
          </w:tcPr>
          <w:p w14:paraId="4532526E" w14:textId="48DDAAC3" w:rsidR="00E351A7" w:rsidRPr="00E351A7" w:rsidRDefault="00A753A2" w:rsidP="00536218">
            <w:pPr>
              <w:spacing w:after="0" w:line="276" w:lineRule="auto"/>
              <w:ind w:left="179"/>
            </w:pPr>
            <w:r>
              <w:t>(667)</w:t>
            </w:r>
            <w:r w:rsidR="002172CE">
              <w:t xml:space="preserve"> </w:t>
            </w:r>
            <w:r w:rsidR="008D03BB" w:rsidRPr="008D03BB">
              <w:t>846</w:t>
            </w:r>
            <w:r w:rsidR="008D03BB">
              <w:t xml:space="preserve"> </w:t>
            </w:r>
            <w:r w:rsidR="008D03BB" w:rsidRPr="008D03BB">
              <w:t>58</w:t>
            </w:r>
            <w:r w:rsidR="008D03BB">
              <w:t xml:space="preserve"> </w:t>
            </w:r>
            <w:r w:rsidR="008D03BB" w:rsidRPr="008D03BB">
              <w:t>05</w:t>
            </w:r>
            <w:bookmarkStart w:id="0" w:name="_GoBack"/>
            <w:bookmarkEnd w:id="0"/>
          </w:p>
        </w:tc>
      </w:tr>
    </w:tbl>
    <w:p w14:paraId="2E4D1395" w14:textId="77777777" w:rsidR="00090637" w:rsidRDefault="00090637" w:rsidP="00090637">
      <w:pPr>
        <w:spacing w:after="0" w:line="276" w:lineRule="auto"/>
        <w:jc w:val="both"/>
        <w:rPr>
          <w:lang w:val="es-ES"/>
        </w:rPr>
        <w:sectPr w:rsidR="00090637" w:rsidSect="00E351A7">
          <w:pgSz w:w="12240" w:h="15840"/>
          <w:pgMar w:top="1418" w:right="902" w:bottom="1134" w:left="1418" w:header="567" w:footer="266" w:gutter="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943"/>
        <w:gridCol w:w="2443"/>
        <w:gridCol w:w="1263"/>
      </w:tblGrid>
      <w:tr w:rsidR="00090637" w14:paraId="3F177AAE" w14:textId="77777777" w:rsidTr="00C61D21">
        <w:trPr>
          <w:trHeight w:val="340"/>
        </w:trPr>
        <w:tc>
          <w:tcPr>
            <w:tcW w:w="9910" w:type="dxa"/>
            <w:gridSpan w:val="4"/>
            <w:shd w:val="clear" w:color="auto" w:fill="651D32"/>
            <w:vAlign w:val="center"/>
          </w:tcPr>
          <w:p w14:paraId="6198D45A" w14:textId="77777777" w:rsidR="00090637" w:rsidRDefault="00090637" w:rsidP="006F4B1F">
            <w:pPr>
              <w:pStyle w:val="Prrafodelista"/>
              <w:numPr>
                <w:ilvl w:val="0"/>
                <w:numId w:val="4"/>
              </w:numPr>
              <w:spacing w:after="0" w:line="276" w:lineRule="auto"/>
            </w:pPr>
            <w:r w:rsidRPr="00BB6D7C">
              <w:rPr>
                <w:b/>
                <w:bCs/>
                <w:color w:val="FFFFFF" w:themeColor="background1"/>
              </w:rPr>
              <w:lastRenderedPageBreak/>
              <w:t>Datos de la Instancia Evaluadora</w:t>
            </w:r>
          </w:p>
        </w:tc>
      </w:tr>
      <w:tr w:rsidR="00090637" w:rsidRPr="006C747D" w14:paraId="22383A89" w14:textId="77777777" w:rsidTr="00C61D21">
        <w:trPr>
          <w:trHeight w:val="340"/>
        </w:trPr>
        <w:tc>
          <w:tcPr>
            <w:tcW w:w="9910" w:type="dxa"/>
            <w:gridSpan w:val="4"/>
            <w:shd w:val="clear" w:color="auto" w:fill="F2F2F2" w:themeFill="background1" w:themeFillShade="F2"/>
            <w:vAlign w:val="center"/>
          </w:tcPr>
          <w:p w14:paraId="02CA33F7" w14:textId="1BBB35EC" w:rsidR="00090637" w:rsidRPr="006C747D" w:rsidRDefault="007D00B1" w:rsidP="006F4B1F">
            <w:pPr>
              <w:pStyle w:val="Prrafodelista"/>
              <w:numPr>
                <w:ilvl w:val="1"/>
                <w:numId w:val="16"/>
              </w:numPr>
              <w:spacing w:after="0" w:line="276" w:lineRule="auto"/>
              <w:ind w:left="462"/>
              <w:rPr>
                <w:b/>
                <w:bCs/>
              </w:rPr>
            </w:pPr>
            <w:r w:rsidRPr="007D00B1">
              <w:rPr>
                <w:b/>
                <w:bCs/>
              </w:rPr>
              <w:t>Tipo de Contratación:</w:t>
            </w:r>
          </w:p>
        </w:tc>
      </w:tr>
      <w:tr w:rsidR="00A06CEF" w:rsidRPr="00A06CEF" w14:paraId="274EAA23" w14:textId="45690D4D" w:rsidTr="008D03BB">
        <w:trPr>
          <w:trHeight w:val="2081"/>
        </w:trPr>
        <w:tc>
          <w:tcPr>
            <w:tcW w:w="3261" w:type="dxa"/>
            <w:shd w:val="clear" w:color="auto" w:fill="F2F2F2" w:themeFill="background1" w:themeFillShade="F2"/>
            <w:vAlign w:val="center"/>
          </w:tcPr>
          <w:p w14:paraId="2F13D7E8" w14:textId="7A7EFCAA" w:rsidR="00A06CEF" w:rsidRPr="00A06CEF" w:rsidRDefault="00A06CEF" w:rsidP="00A06CEF">
            <w:pPr>
              <w:spacing w:after="0" w:line="276" w:lineRule="auto"/>
              <w:ind w:left="447"/>
              <w:rPr>
                <w:b/>
                <w:bCs/>
              </w:rPr>
            </w:pPr>
            <w:r w:rsidRPr="00A06CEF">
              <w:rPr>
                <w:b/>
                <w:bCs/>
              </w:rPr>
              <w:t>Adjudicación Directa:</w:t>
            </w:r>
          </w:p>
        </w:tc>
        <w:tc>
          <w:tcPr>
            <w:tcW w:w="2943" w:type="dxa"/>
            <w:shd w:val="clear" w:color="auto" w:fill="auto"/>
            <w:vAlign w:val="center"/>
          </w:tcPr>
          <w:p w14:paraId="4CC4F026" w14:textId="34F0DECA" w:rsidR="00A06CEF" w:rsidRPr="00C61D21" w:rsidRDefault="008D03BB" w:rsidP="008D03BB">
            <w:pPr>
              <w:spacing w:after="0" w:line="276" w:lineRule="auto"/>
              <w:jc w:val="both"/>
            </w:pPr>
            <w:r w:rsidRPr="008D03BB">
              <w:t>Adjudicación mediante al menos tres cotizaciones, según lo dispuesto por el artículo 32 fracción l, 52 y demás relativos de la ley de adquisiciones, arrendamientos, servicios y administración de bienes muebles para el estado de Sinaloa</w:t>
            </w:r>
          </w:p>
        </w:tc>
        <w:tc>
          <w:tcPr>
            <w:tcW w:w="2443" w:type="dxa"/>
            <w:shd w:val="clear" w:color="auto" w:fill="F2F2F2" w:themeFill="background1" w:themeFillShade="F2"/>
            <w:vAlign w:val="center"/>
          </w:tcPr>
          <w:p w14:paraId="6FB733E3" w14:textId="2A670203" w:rsidR="00A06CEF" w:rsidRPr="00A06CEF" w:rsidRDefault="00A06CEF" w:rsidP="00C61D21">
            <w:pPr>
              <w:spacing w:after="0" w:line="276" w:lineRule="auto"/>
              <w:ind w:left="175"/>
              <w:rPr>
                <w:b/>
                <w:bCs/>
              </w:rPr>
            </w:pPr>
            <w:r w:rsidRPr="00A06CEF">
              <w:rPr>
                <w:b/>
                <w:bCs/>
              </w:rPr>
              <w:t>Invitación a Tres:</w:t>
            </w:r>
          </w:p>
        </w:tc>
        <w:tc>
          <w:tcPr>
            <w:tcW w:w="1263" w:type="dxa"/>
            <w:shd w:val="clear" w:color="auto" w:fill="auto"/>
            <w:vAlign w:val="center"/>
          </w:tcPr>
          <w:p w14:paraId="6A301085" w14:textId="77777777" w:rsidR="00A06CEF" w:rsidRPr="00C61D21" w:rsidRDefault="00A06CEF" w:rsidP="00A06CEF">
            <w:pPr>
              <w:spacing w:after="0" w:line="276" w:lineRule="auto"/>
              <w:jc w:val="center"/>
            </w:pPr>
          </w:p>
        </w:tc>
      </w:tr>
      <w:tr w:rsidR="00A06CEF" w:rsidRPr="00A06CEF" w14:paraId="2812FDC0" w14:textId="04EC84EA" w:rsidTr="008D03BB">
        <w:trPr>
          <w:trHeight w:val="340"/>
        </w:trPr>
        <w:tc>
          <w:tcPr>
            <w:tcW w:w="3261" w:type="dxa"/>
            <w:shd w:val="clear" w:color="auto" w:fill="F2F2F2" w:themeFill="background1" w:themeFillShade="F2"/>
            <w:vAlign w:val="center"/>
          </w:tcPr>
          <w:p w14:paraId="49C8668D" w14:textId="68810B8D" w:rsidR="00A06CEF" w:rsidRPr="00A06CEF" w:rsidRDefault="00A06CEF" w:rsidP="00A06CEF">
            <w:pPr>
              <w:spacing w:after="0" w:line="276" w:lineRule="auto"/>
              <w:ind w:left="447"/>
              <w:rPr>
                <w:b/>
                <w:bCs/>
              </w:rPr>
            </w:pPr>
            <w:r w:rsidRPr="00A06CEF">
              <w:rPr>
                <w:b/>
                <w:bCs/>
              </w:rPr>
              <w:t>Licitación Pública Nacional:</w:t>
            </w:r>
          </w:p>
        </w:tc>
        <w:tc>
          <w:tcPr>
            <w:tcW w:w="2943" w:type="dxa"/>
            <w:shd w:val="clear" w:color="auto" w:fill="auto"/>
            <w:vAlign w:val="center"/>
          </w:tcPr>
          <w:p w14:paraId="59B3E688" w14:textId="77777777" w:rsidR="00A06CEF" w:rsidRPr="00C61D21" w:rsidRDefault="00A06CEF" w:rsidP="00A06CEF">
            <w:pPr>
              <w:spacing w:after="0" w:line="276" w:lineRule="auto"/>
              <w:jc w:val="center"/>
            </w:pPr>
          </w:p>
        </w:tc>
        <w:tc>
          <w:tcPr>
            <w:tcW w:w="2443" w:type="dxa"/>
            <w:shd w:val="clear" w:color="auto" w:fill="F2F2F2" w:themeFill="background1" w:themeFillShade="F2"/>
            <w:vAlign w:val="center"/>
          </w:tcPr>
          <w:p w14:paraId="07DA6A37" w14:textId="4B2EB3C8" w:rsidR="00A06CEF" w:rsidRPr="00A06CEF" w:rsidRDefault="00A06CEF" w:rsidP="00C61D21">
            <w:pPr>
              <w:spacing w:after="0" w:line="276" w:lineRule="auto"/>
              <w:ind w:left="175"/>
              <w:rPr>
                <w:b/>
                <w:bCs/>
              </w:rPr>
            </w:pPr>
            <w:r w:rsidRPr="00A06CEF">
              <w:rPr>
                <w:b/>
                <w:bCs/>
              </w:rPr>
              <w:t>Licitación Pública Internacional:</w:t>
            </w:r>
          </w:p>
        </w:tc>
        <w:tc>
          <w:tcPr>
            <w:tcW w:w="1263" w:type="dxa"/>
            <w:shd w:val="clear" w:color="auto" w:fill="auto"/>
            <w:vAlign w:val="center"/>
          </w:tcPr>
          <w:p w14:paraId="00B3BF62" w14:textId="77777777" w:rsidR="00A06CEF" w:rsidRPr="00C61D21" w:rsidRDefault="00A06CEF" w:rsidP="00A06CEF">
            <w:pPr>
              <w:spacing w:after="0" w:line="276" w:lineRule="auto"/>
              <w:jc w:val="center"/>
            </w:pPr>
          </w:p>
        </w:tc>
      </w:tr>
      <w:tr w:rsidR="00A06CEF" w:rsidRPr="006C747D" w14:paraId="636E0F14" w14:textId="3E6FAC6B" w:rsidTr="00133709">
        <w:trPr>
          <w:trHeight w:val="340"/>
        </w:trPr>
        <w:tc>
          <w:tcPr>
            <w:tcW w:w="3261" w:type="dxa"/>
            <w:shd w:val="clear" w:color="auto" w:fill="F2F2F2" w:themeFill="background1" w:themeFillShade="F2"/>
            <w:vAlign w:val="center"/>
          </w:tcPr>
          <w:p w14:paraId="0FE1C5CD" w14:textId="31A05654" w:rsidR="00A06CEF" w:rsidRPr="00A06CEF" w:rsidRDefault="00A06CEF" w:rsidP="00A06CEF">
            <w:pPr>
              <w:spacing w:after="0" w:line="276" w:lineRule="auto"/>
              <w:ind w:left="447"/>
              <w:rPr>
                <w:b/>
                <w:bCs/>
              </w:rPr>
            </w:pPr>
            <w:r>
              <w:rPr>
                <w:b/>
                <w:bCs/>
              </w:rPr>
              <w:t>Otro (</w:t>
            </w:r>
            <w:r w:rsidR="00C61D21">
              <w:rPr>
                <w:b/>
                <w:bCs/>
              </w:rPr>
              <w:t>especificar</w:t>
            </w:r>
            <w:r>
              <w:rPr>
                <w:b/>
                <w:bCs/>
              </w:rPr>
              <w:t>)</w:t>
            </w:r>
            <w:r w:rsidRPr="00A06CEF">
              <w:rPr>
                <w:b/>
                <w:bCs/>
              </w:rPr>
              <w:t>:</w:t>
            </w:r>
          </w:p>
        </w:tc>
        <w:tc>
          <w:tcPr>
            <w:tcW w:w="6649" w:type="dxa"/>
            <w:gridSpan w:val="3"/>
            <w:shd w:val="clear" w:color="auto" w:fill="auto"/>
            <w:vAlign w:val="center"/>
          </w:tcPr>
          <w:p w14:paraId="5D3667B3" w14:textId="6344F210" w:rsidR="00A06CEF" w:rsidRPr="00C61D21" w:rsidRDefault="00A06CEF" w:rsidP="00A06CEF">
            <w:pPr>
              <w:spacing w:after="0" w:line="276" w:lineRule="auto"/>
            </w:pPr>
          </w:p>
        </w:tc>
      </w:tr>
      <w:tr w:rsidR="00090637" w:rsidRPr="006C747D" w14:paraId="31D12D62" w14:textId="77777777" w:rsidTr="00C61D21">
        <w:trPr>
          <w:trHeight w:val="340"/>
        </w:trPr>
        <w:tc>
          <w:tcPr>
            <w:tcW w:w="9910" w:type="dxa"/>
            <w:gridSpan w:val="4"/>
            <w:shd w:val="clear" w:color="auto" w:fill="F2F2F2" w:themeFill="background1" w:themeFillShade="F2"/>
            <w:vAlign w:val="center"/>
          </w:tcPr>
          <w:p w14:paraId="335DD56B" w14:textId="56D24C5E" w:rsidR="00090637" w:rsidRPr="006C747D" w:rsidRDefault="00C61D21" w:rsidP="006F4B1F">
            <w:pPr>
              <w:pStyle w:val="Prrafodelista"/>
              <w:numPr>
                <w:ilvl w:val="1"/>
                <w:numId w:val="16"/>
              </w:numPr>
              <w:spacing w:after="0" w:line="276" w:lineRule="auto"/>
              <w:ind w:left="462"/>
              <w:rPr>
                <w:b/>
                <w:bCs/>
              </w:rPr>
            </w:pPr>
            <w:r w:rsidRPr="0091170D">
              <w:rPr>
                <w:rFonts w:eastAsia="Times New Roman"/>
                <w:b/>
                <w:color w:val="000000"/>
                <w:lang w:eastAsia="es-MX"/>
              </w:rPr>
              <w:t>Unidad Administrativa Responsable de Contratar la Evaluación:</w:t>
            </w:r>
          </w:p>
        </w:tc>
      </w:tr>
      <w:tr w:rsidR="00090637" w14:paraId="26F2D15B" w14:textId="77777777" w:rsidTr="00C61D21">
        <w:trPr>
          <w:trHeight w:val="340"/>
        </w:trPr>
        <w:tc>
          <w:tcPr>
            <w:tcW w:w="9910" w:type="dxa"/>
            <w:gridSpan w:val="4"/>
            <w:shd w:val="clear" w:color="auto" w:fill="auto"/>
            <w:vAlign w:val="center"/>
          </w:tcPr>
          <w:p w14:paraId="40C6D554" w14:textId="5597A063" w:rsidR="00090637" w:rsidRPr="00C61D21" w:rsidRDefault="008D03BB" w:rsidP="00521401">
            <w:pPr>
              <w:spacing w:after="0" w:line="276" w:lineRule="auto"/>
              <w:ind w:left="179"/>
            </w:pPr>
            <w:r>
              <w:rPr>
                <w:rFonts w:eastAsia="Times New Roman"/>
                <w:color w:val="000000"/>
                <w:lang w:eastAsia="es-MX"/>
              </w:rPr>
              <w:t>Dirección de Bienes y Suministros de la SAF</w:t>
            </w:r>
          </w:p>
        </w:tc>
      </w:tr>
      <w:tr w:rsidR="00090637" w:rsidRPr="00C61D21" w14:paraId="28F01C53" w14:textId="77777777" w:rsidTr="00C61D21">
        <w:trPr>
          <w:trHeight w:val="340"/>
        </w:trPr>
        <w:tc>
          <w:tcPr>
            <w:tcW w:w="9910" w:type="dxa"/>
            <w:gridSpan w:val="4"/>
            <w:shd w:val="clear" w:color="auto" w:fill="F2F2F2" w:themeFill="background1" w:themeFillShade="F2"/>
            <w:vAlign w:val="center"/>
          </w:tcPr>
          <w:p w14:paraId="4C5661BB" w14:textId="53ED67B4" w:rsidR="00090637" w:rsidRPr="00C61D21" w:rsidRDefault="00C61D21" w:rsidP="006F4B1F">
            <w:pPr>
              <w:pStyle w:val="Prrafodelista"/>
              <w:numPr>
                <w:ilvl w:val="1"/>
                <w:numId w:val="16"/>
              </w:numPr>
              <w:spacing w:after="0" w:line="276" w:lineRule="auto"/>
              <w:ind w:left="462"/>
              <w:rPr>
                <w:rFonts w:eastAsia="Times New Roman"/>
                <w:b/>
                <w:color w:val="000000"/>
                <w:lang w:eastAsia="es-MX"/>
              </w:rPr>
            </w:pPr>
            <w:r w:rsidRPr="0091170D">
              <w:rPr>
                <w:rFonts w:eastAsia="Times New Roman"/>
                <w:b/>
                <w:color w:val="000000"/>
                <w:lang w:eastAsia="es-MX"/>
              </w:rPr>
              <w:t>Costo Total de la Evaluación</w:t>
            </w:r>
            <w:r>
              <w:rPr>
                <w:rFonts w:eastAsia="Times New Roman"/>
                <w:b/>
                <w:color w:val="000000"/>
                <w:lang w:eastAsia="es-MX"/>
              </w:rPr>
              <w:t>:</w:t>
            </w:r>
          </w:p>
        </w:tc>
      </w:tr>
      <w:tr w:rsidR="00090637" w14:paraId="7FACD6FD" w14:textId="77777777" w:rsidTr="00C00CF0">
        <w:trPr>
          <w:trHeight w:val="340"/>
        </w:trPr>
        <w:tc>
          <w:tcPr>
            <w:tcW w:w="9910" w:type="dxa"/>
            <w:gridSpan w:val="4"/>
            <w:shd w:val="clear" w:color="auto" w:fill="auto"/>
            <w:vAlign w:val="center"/>
          </w:tcPr>
          <w:p w14:paraId="1E7B6A61" w14:textId="6ED91FC9" w:rsidR="00090637" w:rsidRPr="00C61D21" w:rsidRDefault="00C61D21" w:rsidP="00521401">
            <w:pPr>
              <w:spacing w:after="0" w:line="276" w:lineRule="auto"/>
              <w:ind w:left="179"/>
            </w:pPr>
            <w:r w:rsidRPr="00C61D21">
              <w:t>$</w:t>
            </w:r>
            <w:r w:rsidR="00C00CF0" w:rsidRPr="00C00CF0">
              <w:t>898,950.00</w:t>
            </w:r>
            <w:r w:rsidR="00C00CF0">
              <w:t xml:space="preserve"> (</w:t>
            </w:r>
            <w:r w:rsidR="00C00CF0" w:rsidRPr="00C00CF0">
              <w:rPr>
                <w:i/>
              </w:rPr>
              <w:t>ochocientos noventa y ocho mil novecientos cincuenta</w:t>
            </w:r>
            <w:r w:rsidR="00C00CF0">
              <w:t>)</w:t>
            </w:r>
          </w:p>
        </w:tc>
      </w:tr>
      <w:tr w:rsidR="00090637" w:rsidRPr="00C61D21" w14:paraId="0BEA6A49" w14:textId="77777777" w:rsidTr="00C61D21">
        <w:trPr>
          <w:trHeight w:val="340"/>
        </w:trPr>
        <w:tc>
          <w:tcPr>
            <w:tcW w:w="9910" w:type="dxa"/>
            <w:gridSpan w:val="4"/>
            <w:shd w:val="clear" w:color="auto" w:fill="F2F2F2" w:themeFill="background1" w:themeFillShade="F2"/>
            <w:vAlign w:val="center"/>
          </w:tcPr>
          <w:p w14:paraId="24C09A41" w14:textId="21700AA2" w:rsidR="00090637" w:rsidRPr="00C61D21" w:rsidRDefault="00C61D21" w:rsidP="006F4B1F">
            <w:pPr>
              <w:pStyle w:val="Prrafodelista"/>
              <w:numPr>
                <w:ilvl w:val="1"/>
                <w:numId w:val="16"/>
              </w:numPr>
              <w:spacing w:after="0" w:line="276" w:lineRule="auto"/>
              <w:ind w:left="462"/>
              <w:rPr>
                <w:rFonts w:eastAsia="Times New Roman"/>
                <w:b/>
                <w:color w:val="000000"/>
                <w:lang w:eastAsia="es-MX"/>
              </w:rPr>
            </w:pPr>
            <w:r w:rsidRPr="0091170D">
              <w:rPr>
                <w:rFonts w:eastAsia="Times New Roman"/>
                <w:b/>
                <w:color w:val="000000"/>
                <w:lang w:eastAsia="es-MX"/>
              </w:rPr>
              <w:t>Fuente de Financiamiento:</w:t>
            </w:r>
          </w:p>
        </w:tc>
      </w:tr>
      <w:tr w:rsidR="004C435E" w:rsidRPr="004C435E" w14:paraId="169A4DFE" w14:textId="77777777" w:rsidTr="004C435E">
        <w:trPr>
          <w:trHeight w:val="340"/>
        </w:trPr>
        <w:tc>
          <w:tcPr>
            <w:tcW w:w="9910" w:type="dxa"/>
            <w:gridSpan w:val="4"/>
            <w:shd w:val="clear" w:color="auto" w:fill="auto"/>
            <w:vAlign w:val="center"/>
          </w:tcPr>
          <w:p w14:paraId="2D9DB7A0" w14:textId="22A0203A" w:rsidR="004C435E" w:rsidRPr="004C435E" w:rsidRDefault="00C00CF0" w:rsidP="004C435E">
            <w:pPr>
              <w:spacing w:after="0" w:line="276" w:lineRule="auto"/>
              <w:ind w:left="179"/>
            </w:pPr>
            <w:r w:rsidRPr="00C00CF0">
              <w:t>Fondo de Aportaciones para la Seguridad Pública (FASP)</w:t>
            </w:r>
          </w:p>
        </w:tc>
      </w:tr>
      <w:tr w:rsidR="00090637" w14:paraId="77950A6F" w14:textId="77777777" w:rsidTr="00C61D21">
        <w:trPr>
          <w:trHeight w:val="340"/>
        </w:trPr>
        <w:tc>
          <w:tcPr>
            <w:tcW w:w="9910" w:type="dxa"/>
            <w:gridSpan w:val="4"/>
            <w:shd w:val="clear" w:color="auto" w:fill="auto"/>
            <w:vAlign w:val="center"/>
          </w:tcPr>
          <w:p w14:paraId="3AFC2E9D" w14:textId="5F566391" w:rsidR="004C435E" w:rsidRPr="00C61D21" w:rsidRDefault="004C435E" w:rsidP="000D2A1A">
            <w:pPr>
              <w:spacing w:after="0" w:line="276" w:lineRule="auto"/>
            </w:pPr>
          </w:p>
        </w:tc>
      </w:tr>
      <w:tr w:rsidR="00090637" w14:paraId="0EE3AA7C"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091F3FEA" w14:textId="04C43124" w:rsidR="00090637" w:rsidRDefault="00090637" w:rsidP="006F4B1F">
            <w:pPr>
              <w:pStyle w:val="Prrafodelista"/>
              <w:numPr>
                <w:ilvl w:val="0"/>
                <w:numId w:val="4"/>
              </w:numPr>
              <w:spacing w:after="0" w:line="276" w:lineRule="auto"/>
            </w:pPr>
            <w:r w:rsidRPr="00BB6D7C">
              <w:rPr>
                <w:b/>
                <w:bCs/>
                <w:color w:val="FFFFFF" w:themeColor="background1"/>
              </w:rPr>
              <w:t>D</w:t>
            </w:r>
            <w:r w:rsidR="007D00B1">
              <w:rPr>
                <w:b/>
                <w:bCs/>
                <w:color w:val="FFFFFF" w:themeColor="background1"/>
              </w:rPr>
              <w:t>ifusión de la Evaluación</w:t>
            </w:r>
          </w:p>
        </w:tc>
      </w:tr>
      <w:tr w:rsidR="00090637" w:rsidRPr="006C747D" w14:paraId="35BE24DC"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4F100C8C" w14:textId="1CE0A657" w:rsidR="00090637" w:rsidRPr="006C747D" w:rsidRDefault="007D00B1" w:rsidP="006F4B1F">
            <w:pPr>
              <w:pStyle w:val="Prrafodelista"/>
              <w:numPr>
                <w:ilvl w:val="1"/>
                <w:numId w:val="15"/>
              </w:numPr>
              <w:spacing w:after="0" w:line="276" w:lineRule="auto"/>
              <w:ind w:left="462"/>
              <w:rPr>
                <w:b/>
                <w:bCs/>
              </w:rPr>
            </w:pPr>
            <w:r w:rsidRPr="0091170D">
              <w:rPr>
                <w:rFonts w:eastAsia="Times New Roman"/>
                <w:b/>
                <w:color w:val="000000"/>
                <w:lang w:eastAsia="es-MX"/>
              </w:rPr>
              <w:t>Difusión en Internet de la Evaluación:</w:t>
            </w:r>
          </w:p>
        </w:tc>
      </w:tr>
      <w:tr w:rsidR="00090637" w14:paraId="373495B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5A98E922" w14:textId="443A9D28" w:rsidR="00090637" w:rsidRPr="00C61D21" w:rsidRDefault="00C61D21" w:rsidP="00C61D21">
            <w:pPr>
              <w:spacing w:after="0" w:line="276" w:lineRule="auto"/>
              <w:ind w:left="447"/>
            </w:pPr>
            <w:r w:rsidRPr="00647FF3">
              <w:rPr>
                <w:rStyle w:val="Hipervnculo"/>
                <w:rFonts w:eastAsia="Times New Roman"/>
                <w:lang w:eastAsia="es-MX"/>
              </w:rPr>
              <w:t>evalua.sinaloa.gob.mx/</w:t>
            </w:r>
          </w:p>
        </w:tc>
      </w:tr>
      <w:tr w:rsidR="00090637" w:rsidRPr="007D00B1" w14:paraId="26CD2989"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75F870E" w14:textId="1536B48A" w:rsidR="00090637" w:rsidRPr="007D00B1" w:rsidRDefault="007D00B1" w:rsidP="006F4B1F">
            <w:pPr>
              <w:pStyle w:val="Prrafodelista"/>
              <w:numPr>
                <w:ilvl w:val="1"/>
                <w:numId w:val="15"/>
              </w:numPr>
              <w:spacing w:after="0" w:line="276" w:lineRule="auto"/>
              <w:ind w:left="462"/>
              <w:rPr>
                <w:rFonts w:eastAsia="Times New Roman"/>
                <w:b/>
                <w:color w:val="000000"/>
                <w:lang w:eastAsia="es-MX"/>
              </w:rPr>
            </w:pPr>
            <w:r w:rsidRPr="0091170D">
              <w:rPr>
                <w:rFonts w:eastAsia="Times New Roman"/>
                <w:b/>
                <w:color w:val="000000"/>
                <w:lang w:eastAsia="es-MX"/>
              </w:rPr>
              <w:t>Difusión en Internet del Formato:</w:t>
            </w:r>
          </w:p>
        </w:tc>
      </w:tr>
      <w:tr w:rsidR="00090637" w14:paraId="6D2A8131"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27BF3394" w14:textId="71CB0658" w:rsidR="00090637" w:rsidRPr="00C61D21" w:rsidRDefault="00C61D21" w:rsidP="00C61D21">
            <w:pPr>
              <w:spacing w:after="0" w:line="276" w:lineRule="auto"/>
              <w:ind w:left="447"/>
            </w:pPr>
            <w:r w:rsidRPr="00647FF3">
              <w:rPr>
                <w:rStyle w:val="Hipervnculo"/>
                <w:rFonts w:eastAsia="Times New Roman"/>
                <w:lang w:eastAsia="es-MX"/>
              </w:rPr>
              <w:t>evalua.sinaloa.gob.mx/</w:t>
            </w:r>
          </w:p>
        </w:tc>
      </w:tr>
    </w:tbl>
    <w:p w14:paraId="3CF47452"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C7128" w14:textId="77777777" w:rsidR="006F4B1F" w:rsidRDefault="006F4B1F" w:rsidP="008E5209">
      <w:pPr>
        <w:spacing w:after="0" w:line="240" w:lineRule="auto"/>
      </w:pPr>
      <w:r>
        <w:separator/>
      </w:r>
    </w:p>
  </w:endnote>
  <w:endnote w:type="continuationSeparator" w:id="0">
    <w:p w14:paraId="7BD27604" w14:textId="77777777" w:rsidR="006F4B1F" w:rsidRDefault="006F4B1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18"/>
        <w:szCs w:val="18"/>
      </w:rPr>
      <w:id w:val="-1465493550"/>
      <w:docPartObj>
        <w:docPartGallery w:val="Page Numbers (Bottom of Page)"/>
        <w:docPartUnique/>
      </w:docPartObj>
    </w:sdtPr>
    <w:sdtEndPr/>
    <w:sdtContent>
      <w:p w14:paraId="25C14F4E" w14:textId="6265B8F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B02920" w:rsidRPr="00B02920">
          <w:rPr>
            <w:b/>
            <w:bCs/>
            <w:noProof/>
            <w:sz w:val="18"/>
            <w:szCs w:val="18"/>
            <w:lang w:val="es-ES"/>
          </w:rPr>
          <w:t>1</w:t>
        </w:r>
        <w:r w:rsidRPr="00226E1B">
          <w:rPr>
            <w:b/>
            <w:bCs/>
            <w:sz w:val="18"/>
            <w:szCs w:val="18"/>
          </w:rPr>
          <w:fldChar w:fldCharType="end"/>
        </w:r>
      </w:p>
    </w:sdtContent>
  </w:sdt>
  <w:p w14:paraId="580F0315"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B90FF" w14:textId="77777777" w:rsidR="006F4B1F" w:rsidRDefault="006F4B1F" w:rsidP="008E5209">
      <w:pPr>
        <w:spacing w:after="0" w:line="240" w:lineRule="auto"/>
      </w:pPr>
      <w:r>
        <w:separator/>
      </w:r>
    </w:p>
  </w:footnote>
  <w:footnote w:type="continuationSeparator" w:id="0">
    <w:p w14:paraId="3EF1A0CA" w14:textId="77777777" w:rsidR="006F4B1F" w:rsidRDefault="006F4B1F"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A1771" w14:textId="77777777" w:rsidR="006A4E1E" w:rsidRDefault="006A4E1E" w:rsidP="006A4E1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52A22BAE" wp14:editId="3272A60D">
          <wp:simplePos x="0" y="0"/>
          <wp:positionH relativeFrom="column">
            <wp:posOffset>-471805</wp:posOffset>
          </wp:positionH>
          <wp:positionV relativeFrom="paragraph">
            <wp:posOffset>-131445</wp:posOffset>
          </wp:positionV>
          <wp:extent cx="1924050" cy="653052"/>
          <wp:effectExtent l="0" t="0" r="0" b="0"/>
          <wp:wrapNone/>
          <wp:docPr id="16" name="Imagen 1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67307960" w14:textId="77777777" w:rsidR="006A4E1E" w:rsidRPr="006A4E1E" w:rsidRDefault="006A4E1E" w:rsidP="006A4E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DB5B" w14:textId="77777777" w:rsidR="00003649" w:rsidRDefault="00003649" w:rsidP="00003649">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3872" behindDoc="0" locked="0" layoutInCell="1" allowOverlap="1" wp14:anchorId="7ED5F566" wp14:editId="71344190">
          <wp:simplePos x="0" y="0"/>
          <wp:positionH relativeFrom="column">
            <wp:posOffset>-471805</wp:posOffset>
          </wp:positionH>
          <wp:positionV relativeFrom="paragraph">
            <wp:posOffset>-131445</wp:posOffset>
          </wp:positionV>
          <wp:extent cx="1924050" cy="653052"/>
          <wp:effectExtent l="0" t="0" r="0" b="0"/>
          <wp:wrapNone/>
          <wp:docPr id="15" name="Imagen 1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29CB9F57" w14:textId="77777777" w:rsidR="006047A9" w:rsidRPr="00003649" w:rsidRDefault="006047A9" w:rsidP="000036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0CA9"/>
    <w:multiLevelType w:val="multilevel"/>
    <w:tmpl w:val="080A001F"/>
    <w:numStyleLink w:val="Estilo1"/>
  </w:abstractNum>
  <w:abstractNum w:abstractNumId="1"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9"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0" w15:restartNumberingAfterBreak="0">
    <w:nsid w:val="622B4FC9"/>
    <w:multiLevelType w:val="hybridMultilevel"/>
    <w:tmpl w:val="B26C50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11"/>
  </w:num>
  <w:num w:numId="2">
    <w:abstractNumId w:val="8"/>
  </w:num>
  <w:num w:numId="3">
    <w:abstractNumId w:val="2"/>
  </w:num>
  <w:num w:numId="4">
    <w:abstractNumId w:val="6"/>
  </w:num>
  <w:num w:numId="5">
    <w:abstractNumId w:val="0"/>
  </w:num>
  <w:num w:numId="6">
    <w:abstractNumId w:val="14"/>
  </w:num>
  <w:num w:numId="7">
    <w:abstractNumId w:val="15"/>
  </w:num>
  <w:num w:numId="8">
    <w:abstractNumId w:val="16"/>
  </w:num>
  <w:num w:numId="9">
    <w:abstractNumId w:val="7"/>
  </w:num>
  <w:num w:numId="10">
    <w:abstractNumId w:val="3"/>
  </w:num>
  <w:num w:numId="11">
    <w:abstractNumId w:val="4"/>
  </w:num>
  <w:num w:numId="12">
    <w:abstractNumId w:val="13"/>
  </w:num>
  <w:num w:numId="13">
    <w:abstractNumId w:val="12"/>
  </w:num>
  <w:num w:numId="14">
    <w:abstractNumId w:val="9"/>
  </w:num>
  <w:num w:numId="15">
    <w:abstractNumId w:val="5"/>
  </w:num>
  <w:num w:numId="16">
    <w:abstractNumId w:val="1"/>
  </w:num>
  <w:num w:numId="1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209"/>
    <w:rsid w:val="00003649"/>
    <w:rsid w:val="00003D1B"/>
    <w:rsid w:val="00005672"/>
    <w:rsid w:val="0001033D"/>
    <w:rsid w:val="000118B1"/>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419F"/>
    <w:rsid w:val="00121D44"/>
    <w:rsid w:val="00131E38"/>
    <w:rsid w:val="00133709"/>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172CE"/>
    <w:rsid w:val="00226E1B"/>
    <w:rsid w:val="002272AA"/>
    <w:rsid w:val="00230930"/>
    <w:rsid w:val="002312DF"/>
    <w:rsid w:val="00233D0F"/>
    <w:rsid w:val="002356D5"/>
    <w:rsid w:val="0023762C"/>
    <w:rsid w:val="002422A9"/>
    <w:rsid w:val="00256B08"/>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B48CB"/>
    <w:rsid w:val="002C4C5B"/>
    <w:rsid w:val="002D1AFC"/>
    <w:rsid w:val="002D3EA7"/>
    <w:rsid w:val="002D457E"/>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DBF"/>
    <w:rsid w:val="00345DF3"/>
    <w:rsid w:val="00351B94"/>
    <w:rsid w:val="003671EF"/>
    <w:rsid w:val="00375FD1"/>
    <w:rsid w:val="003800F3"/>
    <w:rsid w:val="003867E1"/>
    <w:rsid w:val="003917C6"/>
    <w:rsid w:val="003954C6"/>
    <w:rsid w:val="003964B5"/>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C10D1"/>
    <w:rsid w:val="004C1175"/>
    <w:rsid w:val="004C1F58"/>
    <w:rsid w:val="004C36DB"/>
    <w:rsid w:val="004C435E"/>
    <w:rsid w:val="004D131A"/>
    <w:rsid w:val="004D31EC"/>
    <w:rsid w:val="004E2AE5"/>
    <w:rsid w:val="004E5966"/>
    <w:rsid w:val="004F1261"/>
    <w:rsid w:val="00501FD9"/>
    <w:rsid w:val="0050641D"/>
    <w:rsid w:val="00510CF9"/>
    <w:rsid w:val="00521401"/>
    <w:rsid w:val="00531BE3"/>
    <w:rsid w:val="00531C3D"/>
    <w:rsid w:val="00536218"/>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33CC"/>
    <w:rsid w:val="005F575E"/>
    <w:rsid w:val="006005B6"/>
    <w:rsid w:val="00601986"/>
    <w:rsid w:val="006021CF"/>
    <w:rsid w:val="00602B50"/>
    <w:rsid w:val="00603771"/>
    <w:rsid w:val="006047A9"/>
    <w:rsid w:val="00607334"/>
    <w:rsid w:val="006123C0"/>
    <w:rsid w:val="0062578D"/>
    <w:rsid w:val="00630891"/>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4E1E"/>
    <w:rsid w:val="006A631C"/>
    <w:rsid w:val="006C0CCC"/>
    <w:rsid w:val="006C747D"/>
    <w:rsid w:val="006D38E2"/>
    <w:rsid w:val="006D4E80"/>
    <w:rsid w:val="006E7E0D"/>
    <w:rsid w:val="006F3A57"/>
    <w:rsid w:val="006F4B1F"/>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EAE"/>
    <w:rsid w:val="007541F8"/>
    <w:rsid w:val="007610AB"/>
    <w:rsid w:val="00782C22"/>
    <w:rsid w:val="00784BFB"/>
    <w:rsid w:val="007862E9"/>
    <w:rsid w:val="007967D9"/>
    <w:rsid w:val="007A0C17"/>
    <w:rsid w:val="007A0D4E"/>
    <w:rsid w:val="007A73AA"/>
    <w:rsid w:val="007A782D"/>
    <w:rsid w:val="007B4768"/>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482F"/>
    <w:rsid w:val="008405A6"/>
    <w:rsid w:val="0085511A"/>
    <w:rsid w:val="00855D89"/>
    <w:rsid w:val="00857815"/>
    <w:rsid w:val="0085799F"/>
    <w:rsid w:val="00860E2B"/>
    <w:rsid w:val="0086126F"/>
    <w:rsid w:val="00862223"/>
    <w:rsid w:val="008726E2"/>
    <w:rsid w:val="00874C99"/>
    <w:rsid w:val="0088276D"/>
    <w:rsid w:val="00882D04"/>
    <w:rsid w:val="008905B0"/>
    <w:rsid w:val="00890761"/>
    <w:rsid w:val="0089095B"/>
    <w:rsid w:val="008A0BCB"/>
    <w:rsid w:val="008A0CB2"/>
    <w:rsid w:val="008C11F4"/>
    <w:rsid w:val="008D03BB"/>
    <w:rsid w:val="008D08A8"/>
    <w:rsid w:val="008D2433"/>
    <w:rsid w:val="008D5CEB"/>
    <w:rsid w:val="008E3483"/>
    <w:rsid w:val="008E5209"/>
    <w:rsid w:val="008F0494"/>
    <w:rsid w:val="008F1D6E"/>
    <w:rsid w:val="0091170D"/>
    <w:rsid w:val="00915DBE"/>
    <w:rsid w:val="009160E1"/>
    <w:rsid w:val="0092465C"/>
    <w:rsid w:val="00925C75"/>
    <w:rsid w:val="009263AC"/>
    <w:rsid w:val="00934890"/>
    <w:rsid w:val="009352D5"/>
    <w:rsid w:val="00950021"/>
    <w:rsid w:val="0096110F"/>
    <w:rsid w:val="009768FB"/>
    <w:rsid w:val="0098143F"/>
    <w:rsid w:val="00983315"/>
    <w:rsid w:val="009850C8"/>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30B"/>
    <w:rsid w:val="00A04263"/>
    <w:rsid w:val="00A06B19"/>
    <w:rsid w:val="00A06C49"/>
    <w:rsid w:val="00A06CEF"/>
    <w:rsid w:val="00A16C5A"/>
    <w:rsid w:val="00A3027C"/>
    <w:rsid w:val="00A30BA4"/>
    <w:rsid w:val="00A342A7"/>
    <w:rsid w:val="00A349AA"/>
    <w:rsid w:val="00A41EEE"/>
    <w:rsid w:val="00A45C63"/>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B5FDA"/>
    <w:rsid w:val="00AC54AF"/>
    <w:rsid w:val="00AC620E"/>
    <w:rsid w:val="00AD0ADD"/>
    <w:rsid w:val="00AE0BD1"/>
    <w:rsid w:val="00AE4E69"/>
    <w:rsid w:val="00AE5C01"/>
    <w:rsid w:val="00AF2993"/>
    <w:rsid w:val="00B02920"/>
    <w:rsid w:val="00B10612"/>
    <w:rsid w:val="00B20F0E"/>
    <w:rsid w:val="00B21AB0"/>
    <w:rsid w:val="00B22ADF"/>
    <w:rsid w:val="00B24DE7"/>
    <w:rsid w:val="00B3544D"/>
    <w:rsid w:val="00B35EB8"/>
    <w:rsid w:val="00B435F5"/>
    <w:rsid w:val="00B43660"/>
    <w:rsid w:val="00B51B31"/>
    <w:rsid w:val="00B614DF"/>
    <w:rsid w:val="00B634A7"/>
    <w:rsid w:val="00B71DBF"/>
    <w:rsid w:val="00B77FBE"/>
    <w:rsid w:val="00B920F2"/>
    <w:rsid w:val="00BA1B67"/>
    <w:rsid w:val="00BA222E"/>
    <w:rsid w:val="00BA4A59"/>
    <w:rsid w:val="00BA5A53"/>
    <w:rsid w:val="00BB024B"/>
    <w:rsid w:val="00BB05A3"/>
    <w:rsid w:val="00BB0885"/>
    <w:rsid w:val="00BB130C"/>
    <w:rsid w:val="00BB178B"/>
    <w:rsid w:val="00BB6D7C"/>
    <w:rsid w:val="00BC2055"/>
    <w:rsid w:val="00BC2B7A"/>
    <w:rsid w:val="00BC5E9C"/>
    <w:rsid w:val="00BD577F"/>
    <w:rsid w:val="00BE1BAD"/>
    <w:rsid w:val="00BE4329"/>
    <w:rsid w:val="00BE7166"/>
    <w:rsid w:val="00BF1C9C"/>
    <w:rsid w:val="00BF1F13"/>
    <w:rsid w:val="00BF25EA"/>
    <w:rsid w:val="00BF698D"/>
    <w:rsid w:val="00C00CF0"/>
    <w:rsid w:val="00C04B92"/>
    <w:rsid w:val="00C103A7"/>
    <w:rsid w:val="00C17070"/>
    <w:rsid w:val="00C2107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D34D2"/>
    <w:rsid w:val="00CF511B"/>
    <w:rsid w:val="00CF57AE"/>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64D64"/>
    <w:rsid w:val="00D71101"/>
    <w:rsid w:val="00D73FE0"/>
    <w:rsid w:val="00D74E49"/>
    <w:rsid w:val="00D77276"/>
    <w:rsid w:val="00D8309E"/>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51A7"/>
    <w:rsid w:val="00E42310"/>
    <w:rsid w:val="00E474E8"/>
    <w:rsid w:val="00E4783D"/>
    <w:rsid w:val="00E529A2"/>
    <w:rsid w:val="00E55352"/>
    <w:rsid w:val="00E66462"/>
    <w:rsid w:val="00E74948"/>
    <w:rsid w:val="00E85EDC"/>
    <w:rsid w:val="00E91A09"/>
    <w:rsid w:val="00E95051"/>
    <w:rsid w:val="00EA4287"/>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5AA6"/>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443A9"/>
  <w15:docId w15:val="{A6D24196-475F-43C0-8818-E4B6A350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2172CE"/>
    <w:rPr>
      <w:color w:val="605E5C"/>
      <w:shd w:val="clear" w:color="auto" w:fill="E1DFDD"/>
    </w:rPr>
  </w:style>
  <w:style w:type="character" w:customStyle="1" w:styleId="PrrafodelistaCar">
    <w:name w:val="Párrafo de lista Car"/>
    <w:link w:val="Prrafodelista"/>
    <w:uiPriority w:val="34"/>
    <w:locked/>
    <w:rsid w:val="006A4E1E"/>
    <w:rPr>
      <w:sz w:val="22"/>
      <w:szCs w:val="22"/>
      <w:lang w:eastAsia="en-US"/>
    </w:rPr>
  </w:style>
  <w:style w:type="character" w:styleId="Mencinsinresolver">
    <w:name w:val="Unresolved Mention"/>
    <w:basedOn w:val="Fuentedeprrafopredeter"/>
    <w:uiPriority w:val="99"/>
    <w:semiHidden/>
    <w:unhideWhenUsed/>
    <w:rsid w:val="008D0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32072535">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87092957">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23048984">
      <w:bodyDiv w:val="1"/>
      <w:marLeft w:val="0"/>
      <w:marRight w:val="0"/>
      <w:marTop w:val="0"/>
      <w:marBottom w:val="0"/>
      <w:divBdr>
        <w:top w:val="none" w:sz="0" w:space="0" w:color="auto"/>
        <w:left w:val="none" w:sz="0" w:space="0" w:color="auto"/>
        <w:bottom w:val="none" w:sz="0" w:space="0" w:color="auto"/>
        <w:right w:val="none" w:sz="0" w:space="0" w:color="auto"/>
      </w:divBdr>
    </w:div>
    <w:div w:id="1079324395">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63222282">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07797418">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02432446">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79575680">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00026476">
      <w:bodyDiv w:val="1"/>
      <w:marLeft w:val="0"/>
      <w:marRight w:val="0"/>
      <w:marTop w:val="0"/>
      <w:marBottom w:val="0"/>
      <w:divBdr>
        <w:top w:val="none" w:sz="0" w:space="0" w:color="auto"/>
        <w:left w:val="none" w:sz="0" w:space="0" w:color="auto"/>
        <w:bottom w:val="none" w:sz="0" w:space="0" w:color="auto"/>
        <w:right w:val="none" w:sz="0" w:space="0" w:color="auto"/>
      </w:divBdr>
    </w:div>
    <w:div w:id="180781545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890072969">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72320475">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33607234">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1052528">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stavo.guzman@sinalo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ingo.vega@sinaloa.gob.m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C8CB6-3275-4E61-A5B4-0D4DCBF01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Pages>
  <Words>1839</Words>
  <Characters>10116</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Evaluacion</dc:creator>
  <cp:lastModifiedBy>Evaluacion</cp:lastModifiedBy>
  <cp:revision>36</cp:revision>
  <cp:lastPrinted>2022-06-14T19:56:00Z</cp:lastPrinted>
  <dcterms:created xsi:type="dcterms:W3CDTF">2022-04-08T16:29:00Z</dcterms:created>
  <dcterms:modified xsi:type="dcterms:W3CDTF">2022-06-14T19:56:00Z</dcterms:modified>
</cp:coreProperties>
</file>